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5437" w14:textId="77777777" w:rsidR="007F2244" w:rsidRDefault="00000000">
      <w:pPr>
        <w:spacing w:before="1400"/>
      </w:pPr>
      <w:r>
        <w:rPr>
          <w:b/>
          <w:bCs/>
          <w:color w:val="1C0087"/>
          <w:sz w:val="62"/>
          <w:szCs w:val="62"/>
        </w:rPr>
        <w:t>PRISM</w:t>
      </w:r>
    </w:p>
    <w:p w14:paraId="339083D8" w14:textId="77777777" w:rsidR="007F2244" w:rsidRDefault="00000000">
      <w:pPr>
        <w:spacing w:after="40"/>
      </w:pPr>
      <w:r>
        <w:rPr>
          <w:b/>
          <w:bCs/>
          <w:color w:val="0086EA"/>
          <w:sz w:val="40"/>
          <w:szCs w:val="40"/>
        </w:rPr>
        <w:t>From Narrator to Analyst</w:t>
      </w:r>
    </w:p>
    <w:p w14:paraId="4A1EC258" w14:textId="77777777" w:rsidR="007F2244" w:rsidRDefault="00000000">
      <w:pPr>
        <w:spacing w:after="300"/>
      </w:pPr>
      <w:r>
        <w:rPr>
          <w:color w:val="44444F"/>
          <w:sz w:val="24"/>
          <w:szCs w:val="24"/>
        </w:rPr>
        <w:t>The agentic redesign — what changes, why it's better, and how it works</w:t>
      </w:r>
    </w:p>
    <w:p w14:paraId="191291BF" w14:textId="77777777" w:rsidR="007F2244" w:rsidRDefault="007F2244">
      <w:pPr>
        <w:pBdr>
          <w:top w:val="single" w:sz="12" w:space="0" w:color="A11B33"/>
        </w:pBdr>
        <w:spacing w:after="200"/>
      </w:pPr>
    </w:p>
    <w:p w14:paraId="786E15D0" w14:textId="77777777" w:rsidR="007F2244" w:rsidRDefault="00000000">
      <w:pPr>
        <w:spacing w:after="260" w:line="276" w:lineRule="auto"/>
      </w:pPr>
      <w:r>
        <w:rPr>
          <w:sz w:val="22"/>
          <w:szCs w:val="22"/>
        </w:rPr>
        <w:t>Making the LLM the brain: giving it tools to investigate the data and prove every claim — instead of narrating a fixed packet. Consolidated from the PRISM design discussion.</w:t>
      </w:r>
    </w:p>
    <w:p w14:paraId="3247CD11" w14:textId="77777777" w:rsidR="007F2244" w:rsidRDefault="00000000">
      <w:pPr>
        <w:spacing w:after="40" w:line="276" w:lineRule="auto"/>
      </w:pPr>
      <w:r>
        <w:rPr>
          <w:b/>
          <w:bCs/>
          <w:color w:val="44444F"/>
          <w:sz w:val="20"/>
          <w:szCs w:val="20"/>
        </w:rPr>
        <w:t xml:space="preserve">Prepared for: </w:t>
      </w:r>
      <w:r>
        <w:rPr>
          <w:color w:val="44444F"/>
          <w:sz w:val="20"/>
          <w:szCs w:val="20"/>
        </w:rPr>
        <w:t>PRISM / Jersey Mike's Data Assistant — WWT</w:t>
      </w:r>
    </w:p>
    <w:p w14:paraId="0792CC70" w14:textId="77777777" w:rsidR="007F2244" w:rsidRDefault="00000000">
      <w:pPr>
        <w:spacing w:after="40" w:line="276" w:lineRule="auto"/>
      </w:pPr>
      <w:r>
        <w:rPr>
          <w:b/>
          <w:bCs/>
          <w:color w:val="44444F"/>
          <w:sz w:val="20"/>
          <w:szCs w:val="20"/>
        </w:rPr>
        <w:t xml:space="preserve">Scope: </w:t>
      </w:r>
      <w:r>
        <w:rPr>
          <w:color w:val="44444F"/>
          <w:sz w:val="20"/>
          <w:szCs w:val="20"/>
        </w:rPr>
        <w:t>v2 architecture — agent, tools, and how it reshapes detection, correlation, routing and alerts</w:t>
      </w:r>
    </w:p>
    <w:p w14:paraId="25B98E33" w14:textId="77777777" w:rsidR="007F2244" w:rsidRDefault="00000000">
      <w:r>
        <w:br w:type="page"/>
      </w:r>
    </w:p>
    <w:p w14:paraId="5A910621" w14:textId="77777777" w:rsidR="007F2244" w:rsidRDefault="00000000">
      <w:pPr>
        <w:pStyle w:val="Heading1"/>
        <w:spacing w:before="320" w:after="140"/>
      </w:pPr>
      <w:bookmarkStart w:id="0" w:name="_Toc235094869"/>
      <w:r>
        <w:lastRenderedPageBreak/>
        <w:t>Contents</w:t>
      </w:r>
      <w:bookmarkEnd w:id="0"/>
    </w:p>
    <w:sdt>
      <w:sdtPr>
        <w:alias w:val="Contents"/>
        <w:id w:val="1368100720"/>
      </w:sdtPr>
      <w:sdtEndPr>
        <w:rPr>
          <w:rFonts w:cs="Calibri"/>
          <w:szCs w:val="21"/>
        </w:rPr>
      </w:sdtEndPr>
      <w:sdtContent>
        <w:p w14:paraId="08A50465" w14:textId="77777777" w:rsidR="006462B3" w:rsidRDefault="00000000">
          <w:pPr>
            <w:pStyle w:val="TOC1"/>
            <w:tabs>
              <w:tab w:val="right" w:leader="dot" w:pos="9350"/>
            </w:tabs>
            <w:rPr>
              <w:noProof/>
            </w:rPr>
          </w:pPr>
          <w:r>
            <w:fldChar w:fldCharType="begin"/>
          </w:r>
          <w:r>
            <w:instrText>TOC \h \o "1-2"</w:instrText>
          </w:r>
          <w:r>
            <w:fldChar w:fldCharType="separate"/>
          </w:r>
          <w:hyperlink w:anchor="_Toc235094869" w:history="1">
            <w:r w:rsidR="006462B3" w:rsidRPr="00D975A9">
              <w:rPr>
                <w:rStyle w:val="Hyperlink"/>
                <w:noProof/>
              </w:rPr>
              <w:t>Contents</w:t>
            </w:r>
            <w:r w:rsidR="006462B3">
              <w:rPr>
                <w:noProof/>
              </w:rPr>
              <w:tab/>
            </w:r>
            <w:r w:rsidR="006462B3">
              <w:rPr>
                <w:noProof/>
              </w:rPr>
              <w:fldChar w:fldCharType="begin"/>
            </w:r>
            <w:r w:rsidR="006462B3">
              <w:rPr>
                <w:noProof/>
              </w:rPr>
              <w:instrText xml:space="preserve"> PAGEREF _Toc235094869 \h </w:instrText>
            </w:r>
            <w:r w:rsidR="006462B3">
              <w:rPr>
                <w:noProof/>
              </w:rPr>
            </w:r>
            <w:r w:rsidR="006462B3">
              <w:rPr>
                <w:noProof/>
              </w:rPr>
              <w:fldChar w:fldCharType="separate"/>
            </w:r>
            <w:r w:rsidR="006462B3">
              <w:rPr>
                <w:noProof/>
              </w:rPr>
              <w:t>2</w:t>
            </w:r>
            <w:r w:rsidR="006462B3">
              <w:rPr>
                <w:noProof/>
              </w:rPr>
              <w:fldChar w:fldCharType="end"/>
            </w:r>
          </w:hyperlink>
        </w:p>
        <w:p w14:paraId="3DA65974" w14:textId="77777777" w:rsidR="006462B3" w:rsidRDefault="006462B3">
          <w:pPr>
            <w:pStyle w:val="TOC1"/>
            <w:tabs>
              <w:tab w:val="right" w:leader="dot" w:pos="9350"/>
            </w:tabs>
            <w:rPr>
              <w:noProof/>
            </w:rPr>
          </w:pPr>
          <w:hyperlink w:anchor="_Toc235094870" w:history="1">
            <w:r w:rsidRPr="00D975A9">
              <w:rPr>
                <w:rStyle w:val="Hyperlink"/>
                <w:noProof/>
              </w:rPr>
              <w:t>1.  The big idea in one page</w:t>
            </w:r>
            <w:r>
              <w:rPr>
                <w:noProof/>
              </w:rPr>
              <w:tab/>
            </w:r>
            <w:r>
              <w:rPr>
                <w:noProof/>
              </w:rPr>
              <w:fldChar w:fldCharType="begin"/>
            </w:r>
            <w:r>
              <w:rPr>
                <w:noProof/>
              </w:rPr>
              <w:instrText xml:space="preserve"> PAGEREF _Toc235094870 \h </w:instrText>
            </w:r>
            <w:r>
              <w:rPr>
                <w:noProof/>
              </w:rPr>
            </w:r>
            <w:r>
              <w:rPr>
                <w:noProof/>
              </w:rPr>
              <w:fldChar w:fldCharType="separate"/>
            </w:r>
            <w:r>
              <w:rPr>
                <w:noProof/>
              </w:rPr>
              <w:t>3</w:t>
            </w:r>
            <w:r>
              <w:rPr>
                <w:noProof/>
              </w:rPr>
              <w:fldChar w:fldCharType="end"/>
            </w:r>
          </w:hyperlink>
        </w:p>
        <w:p w14:paraId="31C28AE9" w14:textId="77777777" w:rsidR="006462B3" w:rsidRDefault="006462B3">
          <w:pPr>
            <w:pStyle w:val="TOC1"/>
            <w:tabs>
              <w:tab w:val="right" w:leader="dot" w:pos="9350"/>
            </w:tabs>
            <w:rPr>
              <w:noProof/>
            </w:rPr>
          </w:pPr>
          <w:hyperlink w:anchor="_Toc235094871" w:history="1">
            <w:r w:rsidRPr="00D975A9">
              <w:rPr>
                <w:rStyle w:val="Hyperlink"/>
                <w:noProof/>
              </w:rPr>
              <w:t>2.  Where PRISM is today</w:t>
            </w:r>
            <w:r>
              <w:rPr>
                <w:noProof/>
              </w:rPr>
              <w:tab/>
            </w:r>
            <w:r>
              <w:rPr>
                <w:noProof/>
              </w:rPr>
              <w:fldChar w:fldCharType="begin"/>
            </w:r>
            <w:r>
              <w:rPr>
                <w:noProof/>
              </w:rPr>
              <w:instrText xml:space="preserve"> PAGEREF _Toc235094871 \h </w:instrText>
            </w:r>
            <w:r>
              <w:rPr>
                <w:noProof/>
              </w:rPr>
            </w:r>
            <w:r>
              <w:rPr>
                <w:noProof/>
              </w:rPr>
              <w:fldChar w:fldCharType="separate"/>
            </w:r>
            <w:r>
              <w:rPr>
                <w:noProof/>
              </w:rPr>
              <w:t>3</w:t>
            </w:r>
            <w:r>
              <w:rPr>
                <w:noProof/>
              </w:rPr>
              <w:fldChar w:fldCharType="end"/>
            </w:r>
          </w:hyperlink>
        </w:p>
        <w:p w14:paraId="0F57E956" w14:textId="77777777" w:rsidR="006462B3" w:rsidRDefault="006462B3">
          <w:pPr>
            <w:pStyle w:val="TOC1"/>
            <w:tabs>
              <w:tab w:val="right" w:leader="dot" w:pos="9350"/>
            </w:tabs>
            <w:rPr>
              <w:noProof/>
            </w:rPr>
          </w:pPr>
          <w:hyperlink w:anchor="_Toc235094872" w:history="1">
            <w:r w:rsidRPr="00D975A9">
              <w:rPr>
                <w:rStyle w:val="Hyperlink"/>
                <w:noProof/>
              </w:rPr>
              <w:t>3.  The core change: narrator → analyst</w:t>
            </w:r>
            <w:r>
              <w:rPr>
                <w:noProof/>
              </w:rPr>
              <w:tab/>
            </w:r>
            <w:r>
              <w:rPr>
                <w:noProof/>
              </w:rPr>
              <w:fldChar w:fldCharType="begin"/>
            </w:r>
            <w:r>
              <w:rPr>
                <w:noProof/>
              </w:rPr>
              <w:instrText xml:space="preserve"> PAGEREF _Toc235094872 \h </w:instrText>
            </w:r>
            <w:r>
              <w:rPr>
                <w:noProof/>
              </w:rPr>
            </w:r>
            <w:r>
              <w:rPr>
                <w:noProof/>
              </w:rPr>
              <w:fldChar w:fldCharType="separate"/>
            </w:r>
            <w:r>
              <w:rPr>
                <w:noProof/>
              </w:rPr>
              <w:t>3</w:t>
            </w:r>
            <w:r>
              <w:rPr>
                <w:noProof/>
              </w:rPr>
              <w:fldChar w:fldCharType="end"/>
            </w:r>
          </w:hyperlink>
        </w:p>
        <w:p w14:paraId="3A9F2FCE" w14:textId="77777777" w:rsidR="006462B3" w:rsidRDefault="006462B3">
          <w:pPr>
            <w:pStyle w:val="TOC1"/>
            <w:tabs>
              <w:tab w:val="right" w:leader="dot" w:pos="9350"/>
            </w:tabs>
            <w:rPr>
              <w:noProof/>
            </w:rPr>
          </w:pPr>
          <w:hyperlink w:anchor="_Toc235094873" w:history="1">
            <w:r w:rsidRPr="00D975A9">
              <w:rPr>
                <w:rStyle w:val="Hyperlink"/>
                <w:noProof/>
              </w:rPr>
              <w:t>4.  How the agent works: the investigation loop</w:t>
            </w:r>
            <w:r>
              <w:rPr>
                <w:noProof/>
              </w:rPr>
              <w:tab/>
            </w:r>
            <w:r>
              <w:rPr>
                <w:noProof/>
              </w:rPr>
              <w:fldChar w:fldCharType="begin"/>
            </w:r>
            <w:r>
              <w:rPr>
                <w:noProof/>
              </w:rPr>
              <w:instrText xml:space="preserve"> PAGEREF _Toc235094873 \h </w:instrText>
            </w:r>
            <w:r>
              <w:rPr>
                <w:noProof/>
              </w:rPr>
            </w:r>
            <w:r>
              <w:rPr>
                <w:noProof/>
              </w:rPr>
              <w:fldChar w:fldCharType="separate"/>
            </w:r>
            <w:r>
              <w:rPr>
                <w:noProof/>
              </w:rPr>
              <w:t>4</w:t>
            </w:r>
            <w:r>
              <w:rPr>
                <w:noProof/>
              </w:rPr>
              <w:fldChar w:fldCharType="end"/>
            </w:r>
          </w:hyperlink>
        </w:p>
        <w:p w14:paraId="07F9C815" w14:textId="77777777" w:rsidR="006462B3" w:rsidRDefault="006462B3">
          <w:pPr>
            <w:pStyle w:val="TOC2"/>
            <w:tabs>
              <w:tab w:val="right" w:leader="dot" w:pos="9350"/>
            </w:tabs>
            <w:rPr>
              <w:noProof/>
            </w:rPr>
          </w:pPr>
          <w:hyperlink w:anchor="_Toc235094874" w:history="1">
            <w:r w:rsidRPr="00D975A9">
              <w:rPr>
                <w:rStyle w:val="Hyperlink"/>
                <w:noProof/>
              </w:rPr>
              <w:t>Two kinds of tools</w:t>
            </w:r>
            <w:r>
              <w:rPr>
                <w:noProof/>
              </w:rPr>
              <w:tab/>
            </w:r>
            <w:r>
              <w:rPr>
                <w:noProof/>
              </w:rPr>
              <w:fldChar w:fldCharType="begin"/>
            </w:r>
            <w:r>
              <w:rPr>
                <w:noProof/>
              </w:rPr>
              <w:instrText xml:space="preserve"> PAGEREF _Toc235094874 \h </w:instrText>
            </w:r>
            <w:r>
              <w:rPr>
                <w:noProof/>
              </w:rPr>
            </w:r>
            <w:r>
              <w:rPr>
                <w:noProof/>
              </w:rPr>
              <w:fldChar w:fldCharType="separate"/>
            </w:r>
            <w:r>
              <w:rPr>
                <w:noProof/>
              </w:rPr>
              <w:t>5</w:t>
            </w:r>
            <w:r>
              <w:rPr>
                <w:noProof/>
              </w:rPr>
              <w:fldChar w:fldCharType="end"/>
            </w:r>
          </w:hyperlink>
        </w:p>
        <w:p w14:paraId="147D83BB" w14:textId="77777777" w:rsidR="006462B3" w:rsidRDefault="006462B3">
          <w:pPr>
            <w:pStyle w:val="TOC2"/>
            <w:tabs>
              <w:tab w:val="right" w:leader="dot" w:pos="9350"/>
            </w:tabs>
            <w:rPr>
              <w:noProof/>
            </w:rPr>
          </w:pPr>
          <w:hyperlink w:anchor="_Toc235094875" w:history="1">
            <w:r w:rsidRPr="00D975A9">
              <w:rPr>
                <w:rStyle w:val="Hyperlink"/>
                <w:noProof/>
              </w:rPr>
              <w:t>Deciding when it's “done”</w:t>
            </w:r>
            <w:r>
              <w:rPr>
                <w:noProof/>
              </w:rPr>
              <w:tab/>
            </w:r>
            <w:r>
              <w:rPr>
                <w:noProof/>
              </w:rPr>
              <w:fldChar w:fldCharType="begin"/>
            </w:r>
            <w:r>
              <w:rPr>
                <w:noProof/>
              </w:rPr>
              <w:instrText xml:space="preserve"> PAGEREF _Toc235094875 \h </w:instrText>
            </w:r>
            <w:r>
              <w:rPr>
                <w:noProof/>
              </w:rPr>
            </w:r>
            <w:r>
              <w:rPr>
                <w:noProof/>
              </w:rPr>
              <w:fldChar w:fldCharType="separate"/>
            </w:r>
            <w:r>
              <w:rPr>
                <w:noProof/>
              </w:rPr>
              <w:t>6</w:t>
            </w:r>
            <w:r>
              <w:rPr>
                <w:noProof/>
              </w:rPr>
              <w:fldChar w:fldCharType="end"/>
            </w:r>
          </w:hyperlink>
        </w:p>
        <w:p w14:paraId="2E3355F5" w14:textId="77777777" w:rsidR="006462B3" w:rsidRDefault="006462B3">
          <w:pPr>
            <w:pStyle w:val="TOC2"/>
            <w:tabs>
              <w:tab w:val="right" w:leader="dot" w:pos="9350"/>
            </w:tabs>
            <w:rPr>
              <w:noProof/>
            </w:rPr>
          </w:pPr>
          <w:hyperlink w:anchor="_Toc235094876" w:history="1">
            <w:r w:rsidRPr="00D975A9">
              <w:rPr>
                <w:rStyle w:val="Hyperlink"/>
                <w:noProof/>
              </w:rPr>
              <w:t>A real dry run — store #8019</w:t>
            </w:r>
            <w:r>
              <w:rPr>
                <w:noProof/>
              </w:rPr>
              <w:tab/>
            </w:r>
            <w:r>
              <w:rPr>
                <w:noProof/>
              </w:rPr>
              <w:fldChar w:fldCharType="begin"/>
            </w:r>
            <w:r>
              <w:rPr>
                <w:noProof/>
              </w:rPr>
              <w:instrText xml:space="preserve"> PAGEREF _Toc235094876 \h </w:instrText>
            </w:r>
            <w:r>
              <w:rPr>
                <w:noProof/>
              </w:rPr>
            </w:r>
            <w:r>
              <w:rPr>
                <w:noProof/>
              </w:rPr>
              <w:fldChar w:fldCharType="separate"/>
            </w:r>
            <w:r>
              <w:rPr>
                <w:noProof/>
              </w:rPr>
              <w:t>6</w:t>
            </w:r>
            <w:r>
              <w:rPr>
                <w:noProof/>
              </w:rPr>
              <w:fldChar w:fldCharType="end"/>
            </w:r>
          </w:hyperlink>
        </w:p>
        <w:p w14:paraId="02755440" w14:textId="77777777" w:rsidR="006462B3" w:rsidRDefault="006462B3">
          <w:pPr>
            <w:pStyle w:val="TOC1"/>
            <w:tabs>
              <w:tab w:val="right" w:leader="dot" w:pos="9350"/>
            </w:tabs>
            <w:rPr>
              <w:noProof/>
            </w:rPr>
          </w:pPr>
          <w:hyperlink w:anchor="_Toc235094877" w:history="1">
            <w:r w:rsidRPr="00D975A9">
              <w:rPr>
                <w:rStyle w:val="Hyperlink"/>
                <w:noProof/>
              </w:rPr>
              <w:t>5.  Why it's better — the same card, disciplined</w:t>
            </w:r>
            <w:r>
              <w:rPr>
                <w:noProof/>
              </w:rPr>
              <w:tab/>
            </w:r>
            <w:r>
              <w:rPr>
                <w:noProof/>
              </w:rPr>
              <w:fldChar w:fldCharType="begin"/>
            </w:r>
            <w:r>
              <w:rPr>
                <w:noProof/>
              </w:rPr>
              <w:instrText xml:space="preserve"> PAGEREF _Toc235094877 \h </w:instrText>
            </w:r>
            <w:r>
              <w:rPr>
                <w:noProof/>
              </w:rPr>
            </w:r>
            <w:r>
              <w:rPr>
                <w:noProof/>
              </w:rPr>
              <w:fldChar w:fldCharType="separate"/>
            </w:r>
            <w:r>
              <w:rPr>
                <w:noProof/>
              </w:rPr>
              <w:t>7</w:t>
            </w:r>
            <w:r>
              <w:rPr>
                <w:noProof/>
              </w:rPr>
              <w:fldChar w:fldCharType="end"/>
            </w:r>
          </w:hyperlink>
        </w:p>
        <w:p w14:paraId="6A2DD039" w14:textId="77777777" w:rsidR="006462B3" w:rsidRDefault="006462B3">
          <w:pPr>
            <w:pStyle w:val="TOC1"/>
            <w:tabs>
              <w:tab w:val="right" w:leader="dot" w:pos="9350"/>
            </w:tabs>
            <w:rPr>
              <w:noProof/>
            </w:rPr>
          </w:pPr>
          <w:hyperlink w:anchor="_Toc235094878" w:history="1">
            <w:r w:rsidRPr="00D975A9">
              <w:rPr>
                <w:rStyle w:val="Hyperlink"/>
                <w:noProof/>
              </w:rPr>
              <w:t>6.  What changes across the system</w:t>
            </w:r>
            <w:r>
              <w:rPr>
                <w:noProof/>
              </w:rPr>
              <w:tab/>
            </w:r>
            <w:r>
              <w:rPr>
                <w:noProof/>
              </w:rPr>
              <w:fldChar w:fldCharType="begin"/>
            </w:r>
            <w:r>
              <w:rPr>
                <w:noProof/>
              </w:rPr>
              <w:instrText xml:space="preserve"> PAGEREF _Toc235094878 \h </w:instrText>
            </w:r>
            <w:r>
              <w:rPr>
                <w:noProof/>
              </w:rPr>
            </w:r>
            <w:r>
              <w:rPr>
                <w:noProof/>
              </w:rPr>
              <w:fldChar w:fldCharType="separate"/>
            </w:r>
            <w:r>
              <w:rPr>
                <w:noProof/>
              </w:rPr>
              <w:t>7</w:t>
            </w:r>
            <w:r>
              <w:rPr>
                <w:noProof/>
              </w:rPr>
              <w:fldChar w:fldCharType="end"/>
            </w:r>
          </w:hyperlink>
        </w:p>
        <w:p w14:paraId="7A9A04A8" w14:textId="77777777" w:rsidR="006462B3" w:rsidRDefault="006462B3">
          <w:pPr>
            <w:pStyle w:val="TOC1"/>
            <w:tabs>
              <w:tab w:val="right" w:leader="dot" w:pos="9350"/>
            </w:tabs>
            <w:rPr>
              <w:noProof/>
            </w:rPr>
          </w:pPr>
          <w:hyperlink w:anchor="_Toc235094879" w:history="1">
            <w:r w:rsidRPr="00D975A9">
              <w:rPr>
                <w:rStyle w:val="Hyperlink"/>
                <w:noProof/>
              </w:rPr>
              <w:t>7.  The guardrails that keep it safe</w:t>
            </w:r>
            <w:r>
              <w:rPr>
                <w:noProof/>
              </w:rPr>
              <w:tab/>
            </w:r>
            <w:r>
              <w:rPr>
                <w:noProof/>
              </w:rPr>
              <w:fldChar w:fldCharType="begin"/>
            </w:r>
            <w:r>
              <w:rPr>
                <w:noProof/>
              </w:rPr>
              <w:instrText xml:space="preserve"> PAGEREF _Toc235094879 \h </w:instrText>
            </w:r>
            <w:r>
              <w:rPr>
                <w:noProof/>
              </w:rPr>
            </w:r>
            <w:r>
              <w:rPr>
                <w:noProof/>
              </w:rPr>
              <w:fldChar w:fldCharType="separate"/>
            </w:r>
            <w:r>
              <w:rPr>
                <w:noProof/>
              </w:rPr>
              <w:t>9</w:t>
            </w:r>
            <w:r>
              <w:rPr>
                <w:noProof/>
              </w:rPr>
              <w:fldChar w:fldCharType="end"/>
            </w:r>
          </w:hyperlink>
        </w:p>
        <w:p w14:paraId="01B18BBC" w14:textId="77777777" w:rsidR="006462B3" w:rsidRDefault="006462B3">
          <w:pPr>
            <w:pStyle w:val="TOC1"/>
            <w:tabs>
              <w:tab w:val="right" w:leader="dot" w:pos="9350"/>
            </w:tabs>
            <w:rPr>
              <w:noProof/>
            </w:rPr>
          </w:pPr>
          <w:hyperlink w:anchor="_Toc235094880" w:history="1">
            <w:r w:rsidRPr="00D975A9">
              <w:rPr>
                <w:rStyle w:val="Hyperlink"/>
                <w:noProof/>
              </w:rPr>
              <w:t>8.  Where this sits, and the build path</w:t>
            </w:r>
            <w:r>
              <w:rPr>
                <w:noProof/>
              </w:rPr>
              <w:tab/>
            </w:r>
            <w:r>
              <w:rPr>
                <w:noProof/>
              </w:rPr>
              <w:fldChar w:fldCharType="begin"/>
            </w:r>
            <w:r>
              <w:rPr>
                <w:noProof/>
              </w:rPr>
              <w:instrText xml:space="preserve"> PAGEREF _Toc235094880 \h </w:instrText>
            </w:r>
            <w:r>
              <w:rPr>
                <w:noProof/>
              </w:rPr>
            </w:r>
            <w:r>
              <w:rPr>
                <w:noProof/>
              </w:rPr>
              <w:fldChar w:fldCharType="separate"/>
            </w:r>
            <w:r>
              <w:rPr>
                <w:noProof/>
              </w:rPr>
              <w:t>9</w:t>
            </w:r>
            <w:r>
              <w:rPr>
                <w:noProof/>
              </w:rPr>
              <w:fldChar w:fldCharType="end"/>
            </w:r>
          </w:hyperlink>
        </w:p>
        <w:p w14:paraId="134A5197" w14:textId="77777777" w:rsidR="006462B3" w:rsidRDefault="006462B3">
          <w:pPr>
            <w:pStyle w:val="TOC1"/>
            <w:tabs>
              <w:tab w:val="right" w:leader="dot" w:pos="9350"/>
            </w:tabs>
            <w:rPr>
              <w:noProof/>
            </w:rPr>
          </w:pPr>
          <w:hyperlink w:anchor="_Toc235094881" w:history="1">
            <w:r w:rsidRPr="00D975A9">
              <w:rPr>
                <w:rStyle w:val="Hyperlink"/>
                <w:noProof/>
              </w:rPr>
              <w:t>9.  Current vs agentic — at a glance</w:t>
            </w:r>
            <w:r>
              <w:rPr>
                <w:noProof/>
              </w:rPr>
              <w:tab/>
            </w:r>
            <w:r>
              <w:rPr>
                <w:noProof/>
              </w:rPr>
              <w:fldChar w:fldCharType="begin"/>
            </w:r>
            <w:r>
              <w:rPr>
                <w:noProof/>
              </w:rPr>
              <w:instrText xml:space="preserve"> PAGEREF _Toc235094881 \h </w:instrText>
            </w:r>
            <w:r>
              <w:rPr>
                <w:noProof/>
              </w:rPr>
            </w:r>
            <w:r>
              <w:rPr>
                <w:noProof/>
              </w:rPr>
              <w:fldChar w:fldCharType="separate"/>
            </w:r>
            <w:r>
              <w:rPr>
                <w:noProof/>
              </w:rPr>
              <w:t>10</w:t>
            </w:r>
            <w:r>
              <w:rPr>
                <w:noProof/>
              </w:rPr>
              <w:fldChar w:fldCharType="end"/>
            </w:r>
          </w:hyperlink>
        </w:p>
        <w:p w14:paraId="2528BA5E" w14:textId="77777777" w:rsidR="007F2244" w:rsidRDefault="00000000">
          <w:r>
            <w:fldChar w:fldCharType="end"/>
          </w:r>
        </w:p>
      </w:sdtContent>
    </w:sdt>
    <w:p w14:paraId="26826E95" w14:textId="77777777" w:rsidR="007F2244" w:rsidRDefault="00000000">
      <w:r>
        <w:br w:type="page"/>
      </w:r>
    </w:p>
    <w:p w14:paraId="74D91A13" w14:textId="77777777" w:rsidR="007F2244" w:rsidRDefault="00000000">
      <w:pPr>
        <w:pStyle w:val="Heading1"/>
        <w:spacing w:before="320" w:after="140"/>
      </w:pPr>
      <w:bookmarkStart w:id="1" w:name="_Toc235094870"/>
      <w:r>
        <w:lastRenderedPageBreak/>
        <w:t>1</w:t>
      </w:r>
      <w:proofErr w:type="gramStart"/>
      <w:r>
        <w:t>.  The</w:t>
      </w:r>
      <w:proofErr w:type="gramEnd"/>
      <w:r>
        <w:t xml:space="preserve"> big idea </w:t>
      </w:r>
      <w:proofErr w:type="gramStart"/>
      <w:r>
        <w:t>in</w:t>
      </w:r>
      <w:proofErr w:type="gramEnd"/>
      <w:r>
        <w:t xml:space="preserve"> one page</w:t>
      </w:r>
      <w:bookmarkEnd w:id="1"/>
    </w:p>
    <w:p w14:paraId="47CA43D6" w14:textId="77777777" w:rsidR="007F2244" w:rsidRDefault="00000000">
      <w:pPr>
        <w:spacing w:after="120" w:line="276" w:lineRule="auto"/>
      </w:pPr>
      <w:r>
        <w:t xml:space="preserve">Today PRISM's AI is a </w:t>
      </w:r>
      <w:r>
        <w:rPr>
          <w:b/>
          <w:bCs/>
        </w:rPr>
        <w:t>narrator</w:t>
      </w:r>
      <w:r>
        <w:t xml:space="preserve">. Detection (rules) flags a store, code assembles a fixed packet of numbers, and the language model writes a story over it. The model never touches the data — it explains whatever it's handed, and because it </w:t>
      </w:r>
      <w:proofErr w:type="gramStart"/>
      <w:r>
        <w:rPr>
          <w:i/>
          <w:iCs/>
        </w:rPr>
        <w:t>has</w:t>
      </w:r>
      <w:r>
        <w:t xml:space="preserve"> to</w:t>
      </w:r>
      <w:proofErr w:type="gramEnd"/>
      <w:r>
        <w:t xml:space="preserve"> produce a narrative, it reaches, hedges ("may…"), and occasionally distorts ("89% below").</w:t>
      </w:r>
    </w:p>
    <w:p w14:paraId="3599492D" w14:textId="77777777" w:rsidR="007F2244" w:rsidRDefault="00000000">
      <w:pPr>
        <w:spacing w:after="120" w:line="276" w:lineRule="auto"/>
      </w:pPr>
      <w:r>
        <w:t xml:space="preserve">The agentic redesign turns the AI into an </w:t>
      </w:r>
      <w:r>
        <w:rPr>
          <w:b/>
          <w:bCs/>
        </w:rPr>
        <w:t>analyst</w:t>
      </w:r>
      <w:r>
        <w:t xml:space="preserve">. Instead of one narration pass, the model runs an </w:t>
      </w:r>
      <w:r>
        <w:rPr>
          <w:b/>
          <w:bCs/>
        </w:rPr>
        <w:t>investigation loop</w:t>
      </w:r>
      <w:r>
        <w:t xml:space="preserve">: it decides what to check, calls a tool that returns a measurement, reads the result, decides what to check next, and repeats until it can explain the store — then writes a diagnosis where </w:t>
      </w:r>
      <w:r>
        <w:rPr>
          <w:b/>
          <w:bCs/>
        </w:rPr>
        <w:t>every claim is backed by a tool result</w:t>
      </w:r>
      <w:r>
        <w:t>.</w:t>
      </w:r>
    </w:p>
    <w:tbl>
      <w:tblPr>
        <w:tblW w:w="9360" w:type="dxa"/>
        <w:tblBorders>
          <w:top w:val="single" w:sz="4" w:space="0" w:color="1C0087"/>
          <w:left w:val="single" w:sz="26" w:space="0" w:color="1C0087"/>
          <w:bottom w:val="single" w:sz="4" w:space="0" w:color="1C0087"/>
          <w:right w:val="single" w:sz="4" w:space="0" w:color="1C008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2244" w14:paraId="029104B8" w14:textId="77777777">
        <w:tblPrEx>
          <w:tblCellMar>
            <w:top w:w="0" w:type="dxa"/>
            <w:bottom w:w="0" w:type="dxa"/>
          </w:tblCellMar>
        </w:tblPrEx>
        <w:tc>
          <w:tcPr>
            <w:tcW w:w="9360" w:type="dxa"/>
            <w:shd w:val="clear" w:color="auto" w:fill="E9F2FC"/>
            <w:tcMar>
              <w:top w:w="100" w:type="dxa"/>
              <w:left w:w="160" w:type="dxa"/>
              <w:bottom w:w="100" w:type="dxa"/>
              <w:right w:w="160" w:type="dxa"/>
            </w:tcMar>
          </w:tcPr>
          <w:p w14:paraId="5499146B" w14:textId="77777777" w:rsidR="007F2244" w:rsidRDefault="00000000">
            <w:pPr>
              <w:spacing w:after="60"/>
            </w:pPr>
            <w:r>
              <w:rPr>
                <w:b/>
                <w:bCs/>
                <w:color w:val="1C0087"/>
              </w:rPr>
              <w:t>The one-line difference</w:t>
            </w:r>
          </w:p>
          <w:p w14:paraId="0FB13B3E" w14:textId="77777777" w:rsidR="007F2244" w:rsidRDefault="00000000">
            <w:pPr>
              <w:spacing w:after="40" w:line="268" w:lineRule="auto"/>
            </w:pPr>
            <w:r>
              <w:t xml:space="preserve">Current PRISM asks the model: </w:t>
            </w:r>
            <w:r>
              <w:rPr>
                <w:i/>
                <w:iCs/>
                <w:color w:val="A11B33"/>
              </w:rPr>
              <w:t>“write a story that fits these numbers.”</w:t>
            </w:r>
          </w:p>
          <w:p w14:paraId="1D3A825B" w14:textId="77777777" w:rsidR="007F2244" w:rsidRDefault="00000000">
            <w:pPr>
              <w:spacing w:after="40" w:line="268" w:lineRule="auto"/>
            </w:pPr>
            <w:r>
              <w:t xml:space="preserve">Agentic PRISM asks: </w:t>
            </w:r>
            <w:r>
              <w:rPr>
                <w:i/>
                <w:iCs/>
                <w:color w:val="1C0087"/>
              </w:rPr>
              <w:t>“prove each thing you want to claim.”</w:t>
            </w:r>
          </w:p>
          <w:p w14:paraId="68A7A5D0" w14:textId="77777777" w:rsidR="007F2244" w:rsidRDefault="00000000">
            <w:pPr>
              <w:spacing w:after="40" w:line="268" w:lineRule="auto"/>
            </w:pPr>
            <w:r>
              <w:rPr>
                <w:b/>
                <w:bCs/>
              </w:rPr>
              <w:t>The first rewards a confident narrative; the second rewards a correct one.</w:t>
            </w:r>
          </w:p>
        </w:tc>
      </w:tr>
    </w:tbl>
    <w:p w14:paraId="106EA664" w14:textId="77777777" w:rsidR="007F2244" w:rsidRDefault="007F2244">
      <w:pPr>
        <w:spacing w:after="80"/>
      </w:pPr>
    </w:p>
    <w:p w14:paraId="7FF20FDC" w14:textId="77777777" w:rsidR="007F2244" w:rsidRDefault="00000000">
      <w:pPr>
        <w:spacing w:after="120" w:line="276" w:lineRule="auto"/>
      </w:pPr>
      <w:r>
        <w:rPr>
          <w:b/>
          <w:bCs/>
        </w:rPr>
        <w:t xml:space="preserve">Why it matters: </w:t>
      </w:r>
      <w:r>
        <w:t>trust (every line traceable to a check), no distortion (a 0.8-point dip is reported as 0.8 points, not “89%”), depth on demand (it can go fetch what a fixed packet wasn't given), and consistency (same store, same evidence, same answer).</w:t>
      </w:r>
    </w:p>
    <w:p w14:paraId="04577159" w14:textId="77777777" w:rsidR="007F2244" w:rsidRDefault="00000000">
      <w:pPr>
        <w:pStyle w:val="Heading1"/>
        <w:spacing w:before="320" w:after="140"/>
      </w:pPr>
      <w:bookmarkStart w:id="2" w:name="_Toc235094871"/>
      <w:r>
        <w:t>2</w:t>
      </w:r>
      <w:proofErr w:type="gramStart"/>
      <w:r>
        <w:t>.  Where</w:t>
      </w:r>
      <w:proofErr w:type="gramEnd"/>
      <w:r>
        <w:t xml:space="preserve"> PRISM is today</w:t>
      </w:r>
      <w:bookmarkEnd w:id="2"/>
    </w:p>
    <w:p w14:paraId="29A411B7" w14:textId="77777777" w:rsidR="007F2244" w:rsidRDefault="00000000">
      <w:pPr>
        <w:spacing w:after="120" w:line="276" w:lineRule="auto"/>
      </w:pPr>
      <w:r>
        <w:t>The current pipeline is sound and stays largely in place:</w:t>
      </w:r>
    </w:p>
    <w:p w14:paraId="16485DAB" w14:textId="77777777" w:rsidR="007F2244" w:rsidRDefault="00000000">
      <w:pPr>
        <w:pStyle w:val="ListParagraph"/>
        <w:numPr>
          <w:ilvl w:val="0"/>
          <w:numId w:val="2"/>
        </w:numPr>
        <w:spacing w:after="80" w:line="272" w:lineRule="auto"/>
      </w:pPr>
      <w:r>
        <w:rPr>
          <w:b/>
          <w:bCs/>
        </w:rPr>
        <w:t xml:space="preserve">Detection — deterministic. </w:t>
      </w:r>
      <w:r>
        <w:t>Rules decide which stores are genuinely off (point-drop vs the store's own trend, target gaps, the food-safety floor). No AI here, by design.</w:t>
      </w:r>
    </w:p>
    <w:p w14:paraId="713E27D5" w14:textId="77777777" w:rsidR="007F2244" w:rsidRDefault="00000000">
      <w:pPr>
        <w:pStyle w:val="ListParagraph"/>
        <w:numPr>
          <w:ilvl w:val="0"/>
          <w:numId w:val="2"/>
        </w:numPr>
        <w:spacing w:after="80" w:line="272" w:lineRule="auto"/>
      </w:pPr>
      <w:r>
        <w:rPr>
          <w:b/>
          <w:bCs/>
        </w:rPr>
        <w:t xml:space="preserve">Evidence packet. </w:t>
      </w:r>
      <w:r>
        <w:t>Code gathers the flagged store's numbers, a peer comparison, and a lead/lag correlation between the store's own metrics.</w:t>
      </w:r>
    </w:p>
    <w:p w14:paraId="788B17DA" w14:textId="77777777" w:rsidR="007F2244" w:rsidRDefault="00000000">
      <w:pPr>
        <w:pStyle w:val="ListParagraph"/>
        <w:numPr>
          <w:ilvl w:val="0"/>
          <w:numId w:val="2"/>
        </w:numPr>
        <w:spacing w:after="80" w:line="272" w:lineRule="auto"/>
      </w:pPr>
      <w:r>
        <w:rPr>
          <w:b/>
          <w:bCs/>
        </w:rPr>
        <w:t xml:space="preserve">The LLM narrates. </w:t>
      </w:r>
      <w:r>
        <w:t>It receives that packet as text and writes the root cause, the causal chain, and the recommended action.</w:t>
      </w:r>
    </w:p>
    <w:p w14:paraId="0B1F019B" w14:textId="77777777" w:rsidR="007F2244" w:rsidRDefault="00000000">
      <w:pPr>
        <w:pStyle w:val="ListParagraph"/>
        <w:numPr>
          <w:ilvl w:val="0"/>
          <w:numId w:val="2"/>
        </w:numPr>
        <w:spacing w:after="80" w:line="272" w:lineRule="auto"/>
      </w:pPr>
      <w:r>
        <w:rPr>
          <w:b/>
          <w:bCs/>
        </w:rPr>
        <w:t xml:space="preserve">Guard. </w:t>
      </w:r>
      <w:r>
        <w:t>Every number the model cites is validated; if it fails, PRISM falls back to a deterministic diagnosis.</w:t>
      </w:r>
    </w:p>
    <w:p w14:paraId="3F8D5114" w14:textId="77777777" w:rsidR="007F2244" w:rsidRDefault="00000000">
      <w:pPr>
        <w:spacing w:after="120" w:line="276" w:lineRule="auto"/>
      </w:pPr>
      <w:r>
        <w:t xml:space="preserve">The limitation is the middle step. The model </w:t>
      </w:r>
      <w:r>
        <w:rPr>
          <w:b/>
          <w:bCs/>
        </w:rPr>
        <w:t>cannot see the data</w:t>
      </w:r>
      <w:r>
        <w:t xml:space="preserve"> — it only sees a summary code already made. </w:t>
      </w:r>
      <w:proofErr w:type="gramStart"/>
      <w:r>
        <w:t>So</w:t>
      </w:r>
      <w:proofErr w:type="gramEnd"/>
      <w:r>
        <w:t xml:space="preserve"> the “analysis” is whatever was pre-computed, and the model's job is to phrase it. That's where guesswork and over-claiming creep in.</w:t>
      </w:r>
    </w:p>
    <w:tbl>
      <w:tblPr>
        <w:tblW w:w="9360" w:type="dxa"/>
        <w:tblBorders>
          <w:top w:val="single" w:sz="4" w:space="0" w:color="A11B33"/>
          <w:left w:val="single" w:sz="26" w:space="0" w:color="A11B33"/>
          <w:bottom w:val="single" w:sz="4" w:space="0" w:color="A11B33"/>
          <w:right w:val="single" w:sz="4" w:space="0" w:color="A11B3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2244" w14:paraId="1B120A90" w14:textId="77777777">
        <w:tblPrEx>
          <w:tblCellMar>
            <w:top w:w="0" w:type="dxa"/>
            <w:bottom w:w="0" w:type="dxa"/>
          </w:tblCellMar>
        </w:tblPrEx>
        <w:tc>
          <w:tcPr>
            <w:tcW w:w="9360" w:type="dxa"/>
            <w:shd w:val="clear" w:color="auto" w:fill="F7EAEE"/>
            <w:tcMar>
              <w:top w:w="100" w:type="dxa"/>
              <w:left w:w="160" w:type="dxa"/>
              <w:bottom w:w="100" w:type="dxa"/>
              <w:right w:w="160" w:type="dxa"/>
            </w:tcMar>
          </w:tcPr>
          <w:p w14:paraId="2B6C47D4" w14:textId="77777777" w:rsidR="007F2244" w:rsidRDefault="00000000">
            <w:pPr>
              <w:spacing w:after="60"/>
            </w:pPr>
            <w:r>
              <w:rPr>
                <w:b/>
                <w:bCs/>
                <w:color w:val="A11B33"/>
              </w:rPr>
              <w:t>The core problem, seen in a real card</w:t>
            </w:r>
          </w:p>
          <w:p w14:paraId="740C6881" w14:textId="77777777" w:rsidR="007F2244" w:rsidRDefault="00000000">
            <w:pPr>
              <w:spacing w:after="40" w:line="268" w:lineRule="auto"/>
            </w:pPr>
            <w:r>
              <w:t xml:space="preserve">A live #8019 card said food safety “may reflect service quality issues” (it's 82 — </w:t>
            </w:r>
            <w:r>
              <w:rPr>
                <w:i/>
                <w:iCs/>
              </w:rPr>
              <w:t>above</w:t>
            </w:r>
            <w:r>
              <w:t xml:space="preserve"> the 80 </w:t>
            </w:r>
            <w:proofErr w:type="gramStart"/>
            <w:r>
              <w:t>floor</w:t>
            </w:r>
            <w:proofErr w:type="gramEnd"/>
            <w:r>
              <w:t>, i.e. fine), called a 0.8-point ticket dip “89% below,” and hedged two links with “may.” It reads as thorough, but a chunk of it is confident filler you can't tell apart from the facts.</w:t>
            </w:r>
          </w:p>
        </w:tc>
      </w:tr>
    </w:tbl>
    <w:p w14:paraId="1E2BE6CB" w14:textId="77777777" w:rsidR="007F2244" w:rsidRDefault="00000000">
      <w:pPr>
        <w:pStyle w:val="Heading1"/>
        <w:spacing w:before="320" w:after="140"/>
      </w:pPr>
      <w:bookmarkStart w:id="3" w:name="_Toc235094872"/>
      <w:r>
        <w:t>3</w:t>
      </w:r>
      <w:proofErr w:type="gramStart"/>
      <w:r>
        <w:t>.  The</w:t>
      </w:r>
      <w:proofErr w:type="gramEnd"/>
      <w:r>
        <w:t xml:space="preserve"> core change: narrator → analyst</w:t>
      </w:r>
      <w:bookmarkEnd w:id="3"/>
    </w:p>
    <w:p w14:paraId="1541C13B" w14:textId="77777777" w:rsidR="007F2244" w:rsidRDefault="00000000">
      <w:pPr>
        <w:spacing w:after="120" w:line="276" w:lineRule="auto"/>
      </w:pPr>
      <w:r>
        <w:lastRenderedPageBreak/>
        <w:t xml:space="preserve">The fix isn't a bigger packet or open database access. It's giving the model a set of safe </w:t>
      </w:r>
      <w:r>
        <w:rPr>
          <w:b/>
          <w:bCs/>
        </w:rPr>
        <w:t>tools</w:t>
      </w:r>
      <w:r>
        <w:t xml:space="preserve"> and letting it choose which to run, in what order, to test its hypothesis. It still does all the thinking; the tools guarantee the numbers.</w:t>
      </w:r>
    </w:p>
    <w:p w14:paraId="169EB2DA" w14:textId="77777777" w:rsidR="007F2244" w:rsidRDefault="00000000">
      <w:pPr>
        <w:spacing w:before="120" w:after="60"/>
        <w:jc w:val="center"/>
      </w:pPr>
      <w:r>
        <w:rPr>
          <w:noProof/>
        </w:rPr>
        <w:drawing>
          <wp:inline distT="0" distB="0" distL="0" distR="0" wp14:anchorId="4205E83F" wp14:editId="77AB805E">
            <wp:extent cx="57150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19425"/>
                    </a:xfrm>
                    <a:prstGeom prst="rect">
                      <a:avLst/>
                    </a:prstGeom>
                  </pic:spPr>
                </pic:pic>
              </a:graphicData>
            </a:graphic>
          </wp:inline>
        </w:drawing>
      </w:r>
    </w:p>
    <w:p w14:paraId="6140146F" w14:textId="77777777" w:rsidR="007F2244" w:rsidRDefault="00000000">
      <w:pPr>
        <w:spacing w:after="180"/>
        <w:jc w:val="center"/>
      </w:pPr>
      <w:r>
        <w:rPr>
          <w:i/>
          <w:iCs/>
          <w:color w:val="44444F"/>
          <w:sz w:val="17"/>
          <w:szCs w:val="17"/>
        </w:rPr>
        <w:t>Figure 1 — The same store, two philosophies: explain what you're handed vs prove each claim.</w:t>
      </w:r>
    </w:p>
    <w:tbl>
      <w:tblPr>
        <w:tblW w:w="9360" w:type="dxa"/>
        <w:tblBorders>
          <w:top w:val="single" w:sz="4" w:space="0" w:color="0086EA"/>
          <w:left w:val="single" w:sz="26" w:space="0" w:color="0086EA"/>
          <w:bottom w:val="single" w:sz="4" w:space="0" w:color="0086EA"/>
          <w:right w:val="single" w:sz="4" w:space="0" w:color="0086E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2244" w14:paraId="7EC4F6F1" w14:textId="77777777">
        <w:tblPrEx>
          <w:tblCellMar>
            <w:top w:w="0" w:type="dxa"/>
            <w:bottom w:w="0" w:type="dxa"/>
          </w:tblCellMar>
        </w:tblPrEx>
        <w:tc>
          <w:tcPr>
            <w:tcW w:w="9360" w:type="dxa"/>
            <w:shd w:val="clear" w:color="auto" w:fill="E9F2FC"/>
            <w:tcMar>
              <w:top w:w="100" w:type="dxa"/>
              <w:left w:w="160" w:type="dxa"/>
              <w:bottom w:w="100" w:type="dxa"/>
              <w:right w:w="160" w:type="dxa"/>
            </w:tcMar>
          </w:tcPr>
          <w:p w14:paraId="725CCBD9" w14:textId="77777777" w:rsidR="007F2244" w:rsidRDefault="00000000">
            <w:pPr>
              <w:spacing w:after="60"/>
            </w:pPr>
            <w:r>
              <w:rPr>
                <w:b/>
                <w:bCs/>
                <w:color w:val="0086EA"/>
              </w:rPr>
              <w:t>Why premade tools ≠ a narrator</w:t>
            </w:r>
          </w:p>
          <w:p w14:paraId="6D0548C1" w14:textId="77777777" w:rsidR="007F2244" w:rsidRDefault="00000000">
            <w:pPr>
              <w:spacing w:after="40" w:line="268" w:lineRule="auto"/>
            </w:pPr>
            <w:r>
              <w:t xml:space="preserve">Fixing the </w:t>
            </w:r>
            <w:r>
              <w:rPr>
                <w:i/>
                <w:iCs/>
              </w:rPr>
              <w:t>menu</w:t>
            </w:r>
            <w:r>
              <w:t xml:space="preserve"> of possible actions is not the same as fixing the </w:t>
            </w:r>
            <w:r>
              <w:rPr>
                <w:i/>
                <w:iCs/>
              </w:rPr>
              <w:t>actual</w:t>
            </w:r>
            <w:r>
              <w:t xml:space="preserve"> actions. A doctor has a fixed set of tests but isn't “just narrating” — the skill is which tests to order, in what order, and what the results mean. With tools, PRISM's path is different for every store and driven by what each result reveals.</w:t>
            </w:r>
          </w:p>
        </w:tc>
      </w:tr>
    </w:tbl>
    <w:p w14:paraId="65426BDE" w14:textId="77777777" w:rsidR="007F2244" w:rsidRDefault="00000000">
      <w:pPr>
        <w:pStyle w:val="Heading1"/>
        <w:spacing w:before="320" w:after="140"/>
      </w:pPr>
      <w:bookmarkStart w:id="4" w:name="_Toc235094873"/>
      <w:r>
        <w:t>4</w:t>
      </w:r>
      <w:proofErr w:type="gramStart"/>
      <w:r>
        <w:t>.  How</w:t>
      </w:r>
      <w:proofErr w:type="gramEnd"/>
      <w:r>
        <w:t xml:space="preserve"> the agent works: the investigation loop</w:t>
      </w:r>
      <w:bookmarkEnd w:id="4"/>
    </w:p>
    <w:p w14:paraId="40310847" w14:textId="77777777" w:rsidR="007F2244" w:rsidRDefault="00000000">
      <w:pPr>
        <w:spacing w:before="120" w:after="60"/>
        <w:jc w:val="center"/>
      </w:pPr>
      <w:r>
        <w:rPr>
          <w:noProof/>
        </w:rPr>
        <w:lastRenderedPageBreak/>
        <w:drawing>
          <wp:inline distT="0" distB="0" distL="0" distR="0" wp14:anchorId="09688665" wp14:editId="09F88811">
            <wp:extent cx="3657600" cy="5057775"/>
            <wp:effectExtent l="0" t="0" r="0" b="0"/>
            <wp:docPr id="138818836" name="Picture 13881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57600" cy="5057775"/>
                    </a:xfrm>
                    <a:prstGeom prst="rect">
                      <a:avLst/>
                    </a:prstGeom>
                  </pic:spPr>
                </pic:pic>
              </a:graphicData>
            </a:graphic>
          </wp:inline>
        </w:drawing>
      </w:r>
    </w:p>
    <w:p w14:paraId="34176376" w14:textId="77777777" w:rsidR="007F2244" w:rsidRDefault="00000000">
      <w:pPr>
        <w:spacing w:after="180"/>
        <w:jc w:val="center"/>
      </w:pPr>
      <w:r>
        <w:rPr>
          <w:i/>
          <w:iCs/>
          <w:color w:val="44444F"/>
          <w:sz w:val="17"/>
          <w:szCs w:val="17"/>
        </w:rPr>
        <w:t>Figure 2 — The agentic loop. The model decides, a tool measures, the model interprets, and it repeats until it can explain the store.</w:t>
      </w:r>
    </w:p>
    <w:p w14:paraId="004F6D47" w14:textId="77777777" w:rsidR="007F2244" w:rsidRDefault="00000000">
      <w:pPr>
        <w:pStyle w:val="Heading2"/>
        <w:spacing w:before="240" w:after="100"/>
      </w:pPr>
      <w:bookmarkStart w:id="5" w:name="_Toc235094874"/>
      <w:r>
        <w:t>Two kinds of tools</w:t>
      </w:r>
      <w:bookmarkEnd w:id="5"/>
    </w:p>
    <w:p w14:paraId="021FF43E" w14:textId="77777777" w:rsidR="007F2244" w:rsidRDefault="00000000">
      <w:pPr>
        <w:spacing w:after="120" w:line="276" w:lineRule="auto"/>
      </w:pPr>
      <w:r>
        <w:t xml:space="preserve">Tools come in two </w:t>
      </w:r>
      <w:proofErr w:type="spellStart"/>
      <w:r>
        <w:t>flavours</w:t>
      </w:r>
      <w:proofErr w:type="spellEnd"/>
      <w:r>
        <w:t>, and both matter:</w:t>
      </w:r>
    </w:p>
    <w:p w14:paraId="1EE9B1E3" w14:textId="77777777" w:rsidR="007F2244" w:rsidRDefault="00000000">
      <w:pPr>
        <w:pStyle w:val="ListParagraph"/>
        <w:numPr>
          <w:ilvl w:val="0"/>
          <w:numId w:val="2"/>
        </w:numPr>
        <w:spacing w:after="80" w:line="272" w:lineRule="auto"/>
      </w:pPr>
      <w:r>
        <w:rPr>
          <w:b/>
          <w:bCs/>
          <w:color w:val="1C0087"/>
        </w:rPr>
        <w:t xml:space="preserve">Analysis doors </w:t>
      </w:r>
      <w:r>
        <w:t xml:space="preserve">— do a calculation and return a </w:t>
      </w:r>
      <w:r>
        <w:rPr>
          <w:b/>
          <w:bCs/>
        </w:rPr>
        <w:t>measurement, not a verdict</w:t>
      </w:r>
      <w:r>
        <w:t xml:space="preserve"> (e.g. </w:t>
      </w:r>
      <w:proofErr w:type="spellStart"/>
      <w:r>
        <w:t>decompose_sss</w:t>
      </w:r>
      <w:proofErr w:type="spellEnd"/>
      <w:r>
        <w:t xml:space="preserve"> → “transactions +137, ticket −0.37,” not “it's a traffic problem”). This is the common path.</w:t>
      </w:r>
    </w:p>
    <w:p w14:paraId="065A1EA2" w14:textId="77777777" w:rsidR="007F2244" w:rsidRDefault="00000000">
      <w:pPr>
        <w:pStyle w:val="ListParagraph"/>
        <w:numPr>
          <w:ilvl w:val="0"/>
          <w:numId w:val="2"/>
        </w:numPr>
        <w:spacing w:after="80" w:line="272" w:lineRule="auto"/>
      </w:pPr>
      <w:r>
        <w:rPr>
          <w:b/>
          <w:bCs/>
          <w:color w:val="1C0087"/>
        </w:rPr>
        <w:t xml:space="preserve">Raw-data doors </w:t>
      </w:r>
      <w:r>
        <w:t>— hand back the actual rows so the model can look for itself (</w:t>
      </w:r>
      <w:proofErr w:type="spellStart"/>
      <w:r>
        <w:t>get_store_weeks</w:t>
      </w:r>
      <w:proofErr w:type="spellEnd"/>
      <w:r>
        <w:t xml:space="preserve">, </w:t>
      </w:r>
      <w:proofErr w:type="spellStart"/>
      <w:r>
        <w:t>list_columns</w:t>
      </w:r>
      <w:proofErr w:type="spellEnd"/>
      <w:r>
        <w:t>). The fallback for questions no analysis tool covers — the thing that stops the agent being boxed into pre-built KPIs.</w:t>
      </w:r>
    </w:p>
    <w:p w14:paraId="4A55E3E3" w14:textId="77777777" w:rsidR="007F2244" w:rsidRDefault="00000000">
      <w:pPr>
        <w:spacing w:before="120" w:after="60"/>
        <w:jc w:val="center"/>
      </w:pPr>
      <w:r>
        <w:rPr>
          <w:noProof/>
        </w:rPr>
        <w:lastRenderedPageBreak/>
        <w:drawing>
          <wp:inline distT="0" distB="0" distL="0" distR="0" wp14:anchorId="1E88B092" wp14:editId="7CEA93F2">
            <wp:extent cx="5600700" cy="3524250"/>
            <wp:effectExtent l="0" t="0" r="0" b="0"/>
            <wp:docPr id="1720643134" name="Picture 172064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00700" cy="3524250"/>
                    </a:xfrm>
                    <a:prstGeom prst="rect">
                      <a:avLst/>
                    </a:prstGeom>
                  </pic:spPr>
                </pic:pic>
              </a:graphicData>
            </a:graphic>
          </wp:inline>
        </w:drawing>
      </w:r>
    </w:p>
    <w:p w14:paraId="5C14520B" w14:textId="77777777" w:rsidR="007F2244" w:rsidRDefault="00000000">
      <w:pPr>
        <w:spacing w:after="180"/>
        <w:jc w:val="center"/>
      </w:pPr>
      <w:r>
        <w:rPr>
          <w:i/>
          <w:iCs/>
          <w:color w:val="44444F"/>
          <w:sz w:val="17"/>
          <w:szCs w:val="17"/>
        </w:rPr>
        <w:t>Figure 3 — The toolbox: the LLM is the brain; analysis doors and raw-data doors are its hands.</w:t>
      </w:r>
    </w:p>
    <w:tbl>
      <w:tblPr>
        <w:tblW w:w="9360" w:type="dxa"/>
        <w:tblBorders>
          <w:top w:val="single" w:sz="4" w:space="0" w:color="1C0087"/>
          <w:left w:val="single" w:sz="26" w:space="0" w:color="1C0087"/>
          <w:bottom w:val="single" w:sz="4" w:space="0" w:color="1C0087"/>
          <w:right w:val="single" w:sz="4" w:space="0" w:color="1C008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2244" w14:paraId="75E7005B" w14:textId="77777777">
        <w:tblPrEx>
          <w:tblCellMar>
            <w:top w:w="0" w:type="dxa"/>
            <w:bottom w:w="0" w:type="dxa"/>
          </w:tblCellMar>
        </w:tblPrEx>
        <w:tc>
          <w:tcPr>
            <w:tcW w:w="9360" w:type="dxa"/>
            <w:shd w:val="clear" w:color="auto" w:fill="E9F2FC"/>
            <w:tcMar>
              <w:top w:w="100" w:type="dxa"/>
              <w:left w:w="160" w:type="dxa"/>
              <w:bottom w:w="100" w:type="dxa"/>
              <w:right w:w="160" w:type="dxa"/>
            </w:tcMar>
          </w:tcPr>
          <w:p w14:paraId="129C5899" w14:textId="77777777" w:rsidR="007F2244" w:rsidRDefault="00000000">
            <w:pPr>
              <w:spacing w:after="60"/>
            </w:pPr>
            <w:r>
              <w:rPr>
                <w:b/>
                <w:bCs/>
                <w:color w:val="1C0087"/>
              </w:rPr>
              <w:t xml:space="preserve">The rule that keeps the LLM </w:t>
            </w:r>
            <w:proofErr w:type="gramStart"/>
            <w:r>
              <w:rPr>
                <w:b/>
                <w:bCs/>
                <w:color w:val="1C0087"/>
              </w:rPr>
              <w:t>a brain</w:t>
            </w:r>
            <w:proofErr w:type="gramEnd"/>
          </w:p>
          <w:p w14:paraId="12FFAEF1" w14:textId="77777777" w:rsidR="007F2244" w:rsidRDefault="00000000">
            <w:pPr>
              <w:spacing w:after="40" w:line="268" w:lineRule="auto"/>
            </w:pPr>
            <w:r>
              <w:t xml:space="preserve">Tools must return </w:t>
            </w:r>
            <w:r>
              <w:rPr>
                <w:b/>
                <w:bCs/>
                <w:color w:val="1C0087"/>
              </w:rPr>
              <w:t>measurements, never verdicts</w:t>
            </w:r>
            <w:r>
              <w:t>. The moment a tool returns “the cause is X,” the thinking has moved into the tool and the LLM is a narrator again. Keep the tools dumb and factual; keep the judgement in the model.</w:t>
            </w:r>
          </w:p>
        </w:tc>
      </w:tr>
    </w:tbl>
    <w:p w14:paraId="3A0594BA" w14:textId="77777777" w:rsidR="007F2244" w:rsidRDefault="00000000">
      <w:pPr>
        <w:pStyle w:val="Heading2"/>
        <w:spacing w:before="240" w:after="100"/>
      </w:pPr>
      <w:bookmarkStart w:id="6" w:name="_Toc235094875"/>
      <w:r>
        <w:t>Deciding when it's “done”</w:t>
      </w:r>
      <w:bookmarkEnd w:id="6"/>
    </w:p>
    <w:p w14:paraId="03276C2E" w14:textId="77777777" w:rsidR="007F2244" w:rsidRDefault="00000000">
      <w:pPr>
        <w:spacing w:after="120" w:line="276" w:lineRule="auto"/>
      </w:pPr>
      <w:r>
        <w:t>The “enough to explain it?” decision is not the model's gut alone. It proposes to stop, wrapped in structure:</w:t>
      </w:r>
    </w:p>
    <w:p w14:paraId="1A6DD490" w14:textId="77777777" w:rsidR="007F2244" w:rsidRDefault="00000000">
      <w:pPr>
        <w:pStyle w:val="ListParagraph"/>
        <w:numPr>
          <w:ilvl w:val="0"/>
          <w:numId w:val="2"/>
        </w:numPr>
        <w:spacing w:after="80" w:line="272" w:lineRule="auto"/>
      </w:pPr>
      <w:r>
        <w:rPr>
          <w:b/>
          <w:bCs/>
        </w:rPr>
        <w:t xml:space="preserve">Definition of done </w:t>
      </w:r>
      <w:r>
        <w:t>— a complete diagnosis needs a root cause, evidence, store-vs-market settled, the obvious alternatives ruled out, and an action. The playbook's cause list is exactly what it must knock down first.</w:t>
      </w:r>
    </w:p>
    <w:p w14:paraId="02806678" w14:textId="77777777" w:rsidR="007F2244" w:rsidRDefault="00000000">
      <w:pPr>
        <w:pStyle w:val="ListParagraph"/>
        <w:numPr>
          <w:ilvl w:val="0"/>
          <w:numId w:val="2"/>
        </w:numPr>
        <w:spacing w:after="80" w:line="272" w:lineRule="auto"/>
      </w:pPr>
      <w:r>
        <w:rPr>
          <w:b/>
          <w:bCs/>
        </w:rPr>
        <w:t xml:space="preserve">Justified confidence </w:t>
      </w:r>
      <w:r>
        <w:t>— a confidence score with a reason; low confidence → another round.</w:t>
      </w:r>
    </w:p>
    <w:p w14:paraId="12E7BF05" w14:textId="77777777" w:rsidR="007F2244" w:rsidRDefault="00000000">
      <w:pPr>
        <w:pStyle w:val="ListParagraph"/>
        <w:numPr>
          <w:ilvl w:val="0"/>
          <w:numId w:val="2"/>
        </w:numPr>
        <w:spacing w:after="80" w:line="272" w:lineRule="auto"/>
      </w:pPr>
      <w:r>
        <w:rPr>
          <w:b/>
          <w:bCs/>
        </w:rPr>
        <w:t xml:space="preserve">Hard caps </w:t>
      </w:r>
      <w:r>
        <w:t>— a max number of tool calls, and “stop if the last call didn't change the hypothesis.”</w:t>
      </w:r>
    </w:p>
    <w:p w14:paraId="5F97E9D9" w14:textId="77777777" w:rsidR="007F2244" w:rsidRDefault="00000000">
      <w:pPr>
        <w:pStyle w:val="ListParagraph"/>
        <w:numPr>
          <w:ilvl w:val="0"/>
          <w:numId w:val="2"/>
        </w:numPr>
        <w:spacing w:after="80" w:line="272" w:lineRule="auto"/>
      </w:pPr>
      <w:r>
        <w:rPr>
          <w:b/>
          <w:bCs/>
        </w:rPr>
        <w:t xml:space="preserve">Backstop </w:t>
      </w:r>
      <w:r>
        <w:t>— if it stops too thin, the guard rejects it and falls back. And “can't rule this out — no data” is a valid stop.</w:t>
      </w:r>
    </w:p>
    <w:p w14:paraId="61F3222A" w14:textId="77777777" w:rsidR="007F2244" w:rsidRDefault="00000000">
      <w:pPr>
        <w:pStyle w:val="Heading2"/>
        <w:spacing w:before="240" w:after="100"/>
      </w:pPr>
      <w:bookmarkStart w:id="7" w:name="_Toc235094876"/>
      <w:r>
        <w:t>A real dry run — store #8019</w:t>
      </w:r>
      <w:bookmarkEnd w:id="7"/>
    </w:p>
    <w:p w14:paraId="47729A85" w14:textId="77777777" w:rsidR="007F2244" w:rsidRDefault="00000000">
      <w:pPr>
        <w:spacing w:after="120" w:line="276" w:lineRule="auto"/>
      </w:pPr>
      <w:r>
        <w:t xml:space="preserve">Real numbers (FBC Marcus Webb, week of 25-05-2026). Notice the data </w:t>
      </w:r>
      <w:r>
        <w:rPr>
          <w:b/>
          <w:bCs/>
        </w:rPr>
        <w:t>overturns the obvious assumption</w:t>
      </w:r>
      <w:r>
        <w:t>:</w:t>
      </w:r>
    </w:p>
    <w:p w14:paraId="129EC46C" w14:textId="77777777" w:rsidR="007F2244" w:rsidRDefault="00000000">
      <w:pPr>
        <w:pStyle w:val="ListParagraph"/>
        <w:numPr>
          <w:ilvl w:val="0"/>
          <w:numId w:val="2"/>
        </w:numPr>
        <w:spacing w:after="80" w:line="272" w:lineRule="auto"/>
      </w:pPr>
      <w:proofErr w:type="spellStart"/>
      <w:r>
        <w:rPr>
          <w:b/>
          <w:bCs/>
          <w:color w:val="1C0087"/>
        </w:rPr>
        <w:t>decompose_sss</w:t>
      </w:r>
      <w:proofErr w:type="spellEnd"/>
      <w:r>
        <w:rPr>
          <w:b/>
          <w:bCs/>
          <w:color w:val="1C0087"/>
        </w:rPr>
        <w:t xml:space="preserve"> </w:t>
      </w:r>
      <w:r>
        <w:t xml:space="preserve">→ transactions </w:t>
      </w:r>
      <w:r>
        <w:rPr>
          <w:b/>
          <w:bCs/>
        </w:rPr>
        <w:t>up</w:t>
      </w:r>
      <w:r>
        <w:t xml:space="preserve"> (+137), ticket down (−0.37) → “ticket-led, </w:t>
      </w:r>
      <w:r>
        <w:rPr>
          <w:i/>
          <w:iCs/>
        </w:rPr>
        <w:t>not</w:t>
      </w:r>
      <w:r>
        <w:t xml:space="preserve"> a traffic problem.”</w:t>
      </w:r>
    </w:p>
    <w:p w14:paraId="6FE2307C" w14:textId="77777777" w:rsidR="007F2244" w:rsidRDefault="00000000">
      <w:pPr>
        <w:pStyle w:val="ListParagraph"/>
        <w:numPr>
          <w:ilvl w:val="0"/>
          <w:numId w:val="2"/>
        </w:numPr>
        <w:spacing w:after="80" w:line="272" w:lineRule="auto"/>
      </w:pPr>
      <w:proofErr w:type="spellStart"/>
      <w:r>
        <w:rPr>
          <w:b/>
          <w:bCs/>
          <w:color w:val="1C0087"/>
        </w:rPr>
        <w:t>compare_to_peers</w:t>
      </w:r>
      <w:proofErr w:type="spellEnd"/>
      <w:r>
        <w:rPr>
          <w:b/>
          <w:bCs/>
          <w:color w:val="1C0087"/>
        </w:rPr>
        <w:t xml:space="preserve"> </w:t>
      </w:r>
      <w:r>
        <w:t>→ 8019 = 0.1, but the whole Marcus Webb cohort averages 1.4 → “partly cohort-wide, not purely store-specific.”</w:t>
      </w:r>
    </w:p>
    <w:p w14:paraId="536AE94D" w14:textId="77777777" w:rsidR="007F2244" w:rsidRDefault="00000000">
      <w:pPr>
        <w:pStyle w:val="ListParagraph"/>
        <w:numPr>
          <w:ilvl w:val="0"/>
          <w:numId w:val="2"/>
        </w:numPr>
        <w:spacing w:after="80" w:line="272" w:lineRule="auto"/>
      </w:pPr>
      <w:r>
        <w:rPr>
          <w:b/>
          <w:bCs/>
          <w:color w:val="1C0087"/>
        </w:rPr>
        <w:lastRenderedPageBreak/>
        <w:t xml:space="preserve">trend </w:t>
      </w:r>
      <w:r>
        <w:t>→ near 1 for months → “chronic, not a sudden collapse.”</w:t>
      </w:r>
    </w:p>
    <w:p w14:paraId="47850A4F" w14:textId="77777777" w:rsidR="007F2244" w:rsidRDefault="00000000">
      <w:pPr>
        <w:pStyle w:val="ListParagraph"/>
        <w:numPr>
          <w:ilvl w:val="0"/>
          <w:numId w:val="2"/>
        </w:numPr>
        <w:spacing w:after="80" w:line="272" w:lineRule="auto"/>
      </w:pPr>
      <w:proofErr w:type="spellStart"/>
      <w:r>
        <w:rPr>
          <w:b/>
          <w:bCs/>
          <w:color w:val="1C0087"/>
        </w:rPr>
        <w:t>osat_breakdown</w:t>
      </w:r>
      <w:proofErr w:type="spellEnd"/>
      <w:r>
        <w:rPr>
          <w:b/>
          <w:bCs/>
          <w:color w:val="1C0087"/>
        </w:rPr>
        <w:t xml:space="preserve"> </w:t>
      </w:r>
      <w:r>
        <w:t>→ Service steady (4.0), Value weakest (3.8) → “not a service problem; a value/price-perception angle.”</w:t>
      </w:r>
    </w:p>
    <w:p w14:paraId="55E962A6" w14:textId="77777777" w:rsidR="007F2244" w:rsidRDefault="00000000">
      <w:pPr>
        <w:pStyle w:val="ListParagraph"/>
        <w:numPr>
          <w:ilvl w:val="0"/>
          <w:numId w:val="2"/>
        </w:numPr>
        <w:spacing w:after="80" w:line="272" w:lineRule="auto"/>
      </w:pPr>
      <w:proofErr w:type="spellStart"/>
      <w:r>
        <w:rPr>
          <w:b/>
          <w:bCs/>
          <w:color w:val="1C0087"/>
        </w:rPr>
        <w:t>get_store_weeks</w:t>
      </w:r>
      <w:proofErr w:type="spellEnd"/>
      <w:r>
        <w:rPr>
          <w:b/>
          <w:bCs/>
          <w:color w:val="1C0087"/>
        </w:rPr>
        <w:t xml:space="preserve"> </w:t>
      </w:r>
      <w:r>
        <w:t>(raw door) → confirms visits rising, ticket easing, OSAT flat.</w:t>
      </w:r>
    </w:p>
    <w:p w14:paraId="757A4DFF" w14:textId="77777777" w:rsidR="007F2244" w:rsidRDefault="00000000">
      <w:pPr>
        <w:spacing w:after="120" w:line="276" w:lineRule="auto"/>
      </w:pPr>
      <w:r>
        <w:rPr>
          <w:b/>
          <w:bCs/>
        </w:rPr>
        <w:t xml:space="preserve">Diagnosis: </w:t>
      </w:r>
      <w:r>
        <w:rPr>
          <w:i/>
          <w:iCs/>
        </w:rPr>
        <w:t>“Chronically soft sales, ticket-led not traffic; cohort-wide across Marcus Webb with 8019 at the low end; Value is the weak driver. Act at the FBC/area level (promo mix, upsell, value messaging), not a single-store service fix.”</w:t>
      </w:r>
    </w:p>
    <w:p w14:paraId="700F2BB7" w14:textId="77777777" w:rsidR="007F2244" w:rsidRDefault="00000000">
      <w:pPr>
        <w:pStyle w:val="Heading1"/>
        <w:spacing w:before="320" w:after="140"/>
      </w:pPr>
      <w:bookmarkStart w:id="8" w:name="_Toc235094877"/>
      <w:r>
        <w:t>5.  Why it's better — the same card, disciplined</w:t>
      </w:r>
      <w:bookmarkEnd w:id="8"/>
    </w:p>
    <w:p w14:paraId="110D03E5" w14:textId="77777777" w:rsidR="007F2244" w:rsidRDefault="00000000">
      <w:pPr>
        <w:spacing w:after="120" w:line="276" w:lineRule="auto"/>
      </w:pPr>
      <w:r>
        <w:t>“More informative” isn't the goal; “reliably correct” is. Here is the current #8019 card, claim by claim, against what the agent would produce:</w:t>
      </w:r>
    </w:p>
    <w:tbl>
      <w:tblPr>
        <w:tblW w:w="9360" w:type="dxa"/>
        <w:tblBorders>
          <w:top w:val="single" w:sz="2" w:space="0" w:color="C2C8DA"/>
          <w:left w:val="single" w:sz="2" w:space="0" w:color="C2C8DA"/>
          <w:bottom w:val="single" w:sz="2" w:space="0" w:color="C2C8DA"/>
          <w:right w:val="single" w:sz="2" w:space="0" w:color="C2C8DA"/>
          <w:insideH w:val="single" w:sz="2" w:space="0" w:color="D8DCE8"/>
          <w:insideV w:val="single" w:sz="2" w:space="0" w:color="D8DCE8"/>
        </w:tblBorders>
        <w:tblCellMar>
          <w:left w:w="10" w:type="dxa"/>
          <w:right w:w="10" w:type="dxa"/>
        </w:tblCellMar>
        <w:tblLook w:val="0000" w:firstRow="0" w:lastRow="0" w:firstColumn="0" w:lastColumn="0" w:noHBand="0" w:noVBand="0"/>
      </w:tblPr>
      <w:tblGrid>
        <w:gridCol w:w="2600"/>
        <w:gridCol w:w="3380"/>
        <w:gridCol w:w="3380"/>
      </w:tblGrid>
      <w:tr w:rsidR="007F2244" w14:paraId="53031365" w14:textId="77777777">
        <w:tblPrEx>
          <w:tblCellMar>
            <w:top w:w="0" w:type="dxa"/>
            <w:bottom w:w="0" w:type="dxa"/>
          </w:tblCellMar>
        </w:tblPrEx>
        <w:trPr>
          <w:tblHeader/>
        </w:trPr>
        <w:tc>
          <w:tcPr>
            <w:tcW w:w="2600" w:type="dxa"/>
            <w:shd w:val="clear" w:color="auto" w:fill="1C0087"/>
            <w:tcMar>
              <w:top w:w="70" w:type="dxa"/>
              <w:left w:w="110" w:type="dxa"/>
              <w:bottom w:w="70" w:type="dxa"/>
              <w:right w:w="110" w:type="dxa"/>
            </w:tcMar>
          </w:tcPr>
          <w:p w14:paraId="3B5B17C6" w14:textId="77777777" w:rsidR="007F2244" w:rsidRDefault="00000000">
            <w:pPr>
              <w:spacing w:line="264" w:lineRule="auto"/>
            </w:pPr>
            <w:r>
              <w:rPr>
                <w:b/>
                <w:bCs/>
                <w:color w:val="FFFFFF"/>
                <w:sz w:val="18"/>
                <w:szCs w:val="18"/>
              </w:rPr>
              <w:t>Claim on the card</w:t>
            </w:r>
          </w:p>
        </w:tc>
        <w:tc>
          <w:tcPr>
            <w:tcW w:w="3380" w:type="dxa"/>
            <w:shd w:val="clear" w:color="auto" w:fill="1C0087"/>
            <w:tcMar>
              <w:top w:w="70" w:type="dxa"/>
              <w:left w:w="110" w:type="dxa"/>
              <w:bottom w:w="70" w:type="dxa"/>
              <w:right w:w="110" w:type="dxa"/>
            </w:tcMar>
          </w:tcPr>
          <w:p w14:paraId="30ABC785" w14:textId="77777777" w:rsidR="007F2244" w:rsidRDefault="00000000">
            <w:pPr>
              <w:spacing w:line="264" w:lineRule="auto"/>
            </w:pPr>
            <w:r>
              <w:rPr>
                <w:b/>
                <w:bCs/>
                <w:color w:val="FFFFFF"/>
                <w:sz w:val="18"/>
                <w:szCs w:val="18"/>
              </w:rPr>
              <w:t>Current PRISM (narrates)</w:t>
            </w:r>
          </w:p>
        </w:tc>
        <w:tc>
          <w:tcPr>
            <w:tcW w:w="3380" w:type="dxa"/>
            <w:shd w:val="clear" w:color="auto" w:fill="1C0087"/>
            <w:tcMar>
              <w:top w:w="70" w:type="dxa"/>
              <w:left w:w="110" w:type="dxa"/>
              <w:bottom w:w="70" w:type="dxa"/>
              <w:right w:w="110" w:type="dxa"/>
            </w:tcMar>
          </w:tcPr>
          <w:p w14:paraId="491202D2" w14:textId="77777777" w:rsidR="007F2244" w:rsidRDefault="00000000">
            <w:pPr>
              <w:spacing w:line="264" w:lineRule="auto"/>
            </w:pPr>
            <w:r>
              <w:rPr>
                <w:b/>
                <w:bCs/>
                <w:color w:val="FFFFFF"/>
                <w:sz w:val="18"/>
                <w:szCs w:val="18"/>
              </w:rPr>
              <w:t>Agentic PRISM (proves)</w:t>
            </w:r>
          </w:p>
        </w:tc>
      </w:tr>
      <w:tr w:rsidR="007F2244" w14:paraId="4F44176E"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380BF31E" w14:textId="77777777" w:rsidR="007F2244" w:rsidRDefault="00000000">
            <w:pPr>
              <w:spacing w:line="264" w:lineRule="auto"/>
            </w:pPr>
            <w:r>
              <w:rPr>
                <w:sz w:val="18"/>
                <w:szCs w:val="18"/>
              </w:rPr>
              <w:t>The drop</w:t>
            </w:r>
          </w:p>
        </w:tc>
        <w:tc>
          <w:tcPr>
            <w:tcW w:w="3380" w:type="dxa"/>
            <w:shd w:val="clear" w:color="auto" w:fill="FFFFFF"/>
            <w:tcMar>
              <w:top w:w="70" w:type="dxa"/>
              <w:left w:w="110" w:type="dxa"/>
              <w:bottom w:w="70" w:type="dxa"/>
              <w:right w:w="110" w:type="dxa"/>
            </w:tcMar>
          </w:tcPr>
          <w:p w14:paraId="3D7A8F2E" w14:textId="77777777" w:rsidR="007F2244" w:rsidRDefault="00000000">
            <w:pPr>
              <w:spacing w:line="264" w:lineRule="auto"/>
            </w:pPr>
            <w:r>
              <w:rPr>
                <w:sz w:val="18"/>
                <w:szCs w:val="18"/>
              </w:rPr>
              <w:t>“89% below trailing average” — a ratio of a tiny %</w:t>
            </w:r>
          </w:p>
        </w:tc>
        <w:tc>
          <w:tcPr>
            <w:tcW w:w="3380" w:type="dxa"/>
            <w:shd w:val="clear" w:color="auto" w:fill="FFFFFF"/>
            <w:tcMar>
              <w:top w:w="70" w:type="dxa"/>
              <w:left w:w="110" w:type="dxa"/>
              <w:bottom w:w="70" w:type="dxa"/>
              <w:right w:w="110" w:type="dxa"/>
            </w:tcMar>
          </w:tcPr>
          <w:p w14:paraId="21D3A3EA" w14:textId="77777777" w:rsidR="007F2244" w:rsidRDefault="00000000">
            <w:pPr>
              <w:spacing w:line="264" w:lineRule="auto"/>
            </w:pPr>
            <w:r>
              <w:rPr>
                <w:sz w:val="18"/>
                <w:szCs w:val="18"/>
              </w:rPr>
              <w:t>“0.8 points below recent average (0.91→0.10)” — as the tool measured it</w:t>
            </w:r>
          </w:p>
        </w:tc>
      </w:tr>
      <w:tr w:rsidR="007F2244" w14:paraId="26DD6693" w14:textId="77777777">
        <w:tblPrEx>
          <w:tblCellMar>
            <w:top w:w="0" w:type="dxa"/>
            <w:bottom w:w="0" w:type="dxa"/>
          </w:tblCellMar>
        </w:tblPrEx>
        <w:tc>
          <w:tcPr>
            <w:tcW w:w="2600" w:type="dxa"/>
            <w:shd w:val="clear" w:color="auto" w:fill="F4F6FB"/>
            <w:tcMar>
              <w:top w:w="70" w:type="dxa"/>
              <w:left w:w="110" w:type="dxa"/>
              <w:bottom w:w="70" w:type="dxa"/>
              <w:right w:w="110" w:type="dxa"/>
            </w:tcMar>
          </w:tcPr>
          <w:p w14:paraId="0243C57C" w14:textId="77777777" w:rsidR="007F2244" w:rsidRDefault="00000000">
            <w:pPr>
              <w:spacing w:line="264" w:lineRule="auto"/>
            </w:pPr>
            <w:proofErr w:type="gramStart"/>
            <w:r>
              <w:rPr>
                <w:sz w:val="18"/>
                <w:szCs w:val="18"/>
              </w:rPr>
              <w:t>Ticket</w:t>
            </w:r>
            <w:proofErr w:type="gramEnd"/>
            <w:r>
              <w:rPr>
                <w:sz w:val="18"/>
                <w:szCs w:val="18"/>
              </w:rPr>
              <w:t xml:space="preserve"> as root</w:t>
            </w:r>
          </w:p>
        </w:tc>
        <w:tc>
          <w:tcPr>
            <w:tcW w:w="3380" w:type="dxa"/>
            <w:shd w:val="clear" w:color="auto" w:fill="F4F6FB"/>
            <w:tcMar>
              <w:top w:w="70" w:type="dxa"/>
              <w:left w:w="110" w:type="dxa"/>
              <w:bottom w:w="70" w:type="dxa"/>
              <w:right w:w="110" w:type="dxa"/>
            </w:tcMar>
          </w:tcPr>
          <w:p w14:paraId="7CFBD672" w14:textId="77777777" w:rsidR="007F2244" w:rsidRDefault="00000000">
            <w:pPr>
              <w:spacing w:line="264" w:lineRule="auto"/>
            </w:pPr>
            <w:r>
              <w:rPr>
                <w:sz w:val="18"/>
                <w:szCs w:val="18"/>
              </w:rPr>
              <w:t>“</w:t>
            </w:r>
            <w:proofErr w:type="spellStart"/>
            <w:r>
              <w:rPr>
                <w:sz w:val="18"/>
                <w:szCs w:val="18"/>
              </w:rPr>
              <w:t>AvgTicket</w:t>
            </w:r>
            <w:proofErr w:type="spellEnd"/>
            <w:r>
              <w:rPr>
                <w:sz w:val="18"/>
                <w:szCs w:val="18"/>
              </w:rPr>
              <w:t xml:space="preserve"> leads SSS by 2 </w:t>
            </w:r>
            <w:proofErr w:type="spellStart"/>
            <w:r>
              <w:rPr>
                <w:sz w:val="18"/>
                <w:szCs w:val="18"/>
              </w:rPr>
              <w:t>wks</w:t>
            </w:r>
            <w:proofErr w:type="spellEnd"/>
            <w:r>
              <w:rPr>
                <w:sz w:val="18"/>
                <w:szCs w:val="18"/>
              </w:rPr>
              <w:t>” — real lead/lag</w:t>
            </w:r>
          </w:p>
        </w:tc>
        <w:tc>
          <w:tcPr>
            <w:tcW w:w="3380" w:type="dxa"/>
            <w:shd w:val="clear" w:color="auto" w:fill="F4F6FB"/>
            <w:tcMar>
              <w:top w:w="70" w:type="dxa"/>
              <w:left w:w="110" w:type="dxa"/>
              <w:bottom w:w="70" w:type="dxa"/>
              <w:right w:w="110" w:type="dxa"/>
            </w:tcMar>
          </w:tcPr>
          <w:p w14:paraId="645EE0A8" w14:textId="77777777" w:rsidR="007F2244" w:rsidRDefault="00000000">
            <w:pPr>
              <w:spacing w:line="264" w:lineRule="auto"/>
            </w:pPr>
            <w:r>
              <w:rPr>
                <w:sz w:val="18"/>
                <w:szCs w:val="18"/>
              </w:rPr>
              <w:t>Kept — it came from an actual check</w:t>
            </w:r>
          </w:p>
        </w:tc>
      </w:tr>
      <w:tr w:rsidR="007F2244" w14:paraId="0855A649"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16B4CB34" w14:textId="77777777" w:rsidR="007F2244" w:rsidRDefault="00000000">
            <w:pPr>
              <w:spacing w:line="264" w:lineRule="auto"/>
            </w:pPr>
            <w:r>
              <w:rPr>
                <w:sz w:val="18"/>
                <w:szCs w:val="18"/>
              </w:rPr>
              <w:t>Store vs market</w:t>
            </w:r>
          </w:p>
        </w:tc>
        <w:tc>
          <w:tcPr>
            <w:tcW w:w="3380" w:type="dxa"/>
            <w:shd w:val="clear" w:color="auto" w:fill="FFFFFF"/>
            <w:tcMar>
              <w:top w:w="70" w:type="dxa"/>
              <w:left w:w="110" w:type="dxa"/>
              <w:bottom w:w="70" w:type="dxa"/>
              <w:right w:w="110" w:type="dxa"/>
            </w:tcMar>
          </w:tcPr>
          <w:p w14:paraId="30E44D67" w14:textId="77777777" w:rsidR="007F2244" w:rsidRDefault="00000000">
            <w:pPr>
              <w:spacing w:line="264" w:lineRule="auto"/>
            </w:pPr>
            <w:r>
              <w:rPr>
                <w:sz w:val="18"/>
                <w:szCs w:val="18"/>
              </w:rPr>
              <w:t>“</w:t>
            </w:r>
            <w:proofErr w:type="gramStart"/>
            <w:r>
              <w:rPr>
                <w:sz w:val="18"/>
                <w:szCs w:val="18"/>
              </w:rPr>
              <w:t>clear</w:t>
            </w:r>
            <w:proofErr w:type="gramEnd"/>
            <w:r>
              <w:rPr>
                <w:sz w:val="18"/>
                <w:szCs w:val="18"/>
              </w:rPr>
              <w:t xml:space="preserve"> laggard… not a market headwind”</w:t>
            </w:r>
          </w:p>
        </w:tc>
        <w:tc>
          <w:tcPr>
            <w:tcW w:w="3380" w:type="dxa"/>
            <w:shd w:val="clear" w:color="auto" w:fill="FFFFFF"/>
            <w:tcMar>
              <w:top w:w="70" w:type="dxa"/>
              <w:left w:w="110" w:type="dxa"/>
              <w:bottom w:w="70" w:type="dxa"/>
              <w:right w:w="110" w:type="dxa"/>
            </w:tcMar>
          </w:tcPr>
          <w:p w14:paraId="417A3525" w14:textId="77777777" w:rsidR="007F2244" w:rsidRDefault="00000000">
            <w:pPr>
              <w:spacing w:line="264" w:lineRule="auto"/>
            </w:pPr>
            <w:r>
              <w:rPr>
                <w:sz w:val="18"/>
                <w:szCs w:val="18"/>
              </w:rPr>
              <w:t>Cohort avg is 1.4 (also far below 5) → “worst in a soft cohort,” won't over-claim</w:t>
            </w:r>
          </w:p>
        </w:tc>
      </w:tr>
      <w:tr w:rsidR="007F2244" w14:paraId="1128077B" w14:textId="77777777">
        <w:tblPrEx>
          <w:tblCellMar>
            <w:top w:w="0" w:type="dxa"/>
            <w:bottom w:w="0" w:type="dxa"/>
          </w:tblCellMar>
        </w:tblPrEx>
        <w:tc>
          <w:tcPr>
            <w:tcW w:w="2600" w:type="dxa"/>
            <w:shd w:val="clear" w:color="auto" w:fill="F4F6FB"/>
            <w:tcMar>
              <w:top w:w="70" w:type="dxa"/>
              <w:left w:w="110" w:type="dxa"/>
              <w:bottom w:w="70" w:type="dxa"/>
              <w:right w:w="110" w:type="dxa"/>
            </w:tcMar>
          </w:tcPr>
          <w:p w14:paraId="58D8E9D4" w14:textId="77777777" w:rsidR="007F2244" w:rsidRDefault="00000000">
            <w:pPr>
              <w:spacing w:line="264" w:lineRule="auto"/>
            </w:pPr>
            <w:r>
              <w:rPr>
                <w:sz w:val="18"/>
                <w:szCs w:val="18"/>
              </w:rPr>
              <w:t>OSAT</w:t>
            </w:r>
          </w:p>
        </w:tc>
        <w:tc>
          <w:tcPr>
            <w:tcW w:w="3380" w:type="dxa"/>
            <w:shd w:val="clear" w:color="auto" w:fill="F4F6FB"/>
            <w:tcMar>
              <w:top w:w="70" w:type="dxa"/>
              <w:left w:w="110" w:type="dxa"/>
              <w:bottom w:w="70" w:type="dxa"/>
              <w:right w:w="110" w:type="dxa"/>
            </w:tcMar>
          </w:tcPr>
          <w:p w14:paraId="148F4368" w14:textId="77777777" w:rsidR="007F2244" w:rsidRDefault="00000000">
            <w:pPr>
              <w:spacing w:line="264" w:lineRule="auto"/>
            </w:pPr>
            <w:r>
              <w:rPr>
                <w:sz w:val="18"/>
                <w:szCs w:val="18"/>
              </w:rPr>
              <w:t>“</w:t>
            </w:r>
            <w:proofErr w:type="gramStart"/>
            <w:r>
              <w:rPr>
                <w:sz w:val="18"/>
                <w:szCs w:val="18"/>
              </w:rPr>
              <w:t>may</w:t>
            </w:r>
            <w:proofErr w:type="gramEnd"/>
            <w:r>
              <w:rPr>
                <w:sz w:val="18"/>
                <w:szCs w:val="18"/>
              </w:rPr>
              <w:t xml:space="preserve"> suppress… ticket” — untested “may”</w:t>
            </w:r>
          </w:p>
        </w:tc>
        <w:tc>
          <w:tcPr>
            <w:tcW w:w="3380" w:type="dxa"/>
            <w:shd w:val="clear" w:color="auto" w:fill="F4F6FB"/>
            <w:tcMar>
              <w:top w:w="70" w:type="dxa"/>
              <w:left w:w="110" w:type="dxa"/>
              <w:bottom w:w="70" w:type="dxa"/>
              <w:right w:w="110" w:type="dxa"/>
            </w:tcMar>
          </w:tcPr>
          <w:p w14:paraId="5719BB01" w14:textId="77777777" w:rsidR="007F2244" w:rsidRDefault="00000000">
            <w:pPr>
              <w:spacing w:line="264" w:lineRule="auto"/>
            </w:pPr>
            <w:r>
              <w:rPr>
                <w:sz w:val="18"/>
                <w:szCs w:val="18"/>
              </w:rPr>
              <w:t>Tests it: Value (3.8) is the weak driver, reported with evidence</w:t>
            </w:r>
          </w:p>
        </w:tc>
      </w:tr>
      <w:tr w:rsidR="007F2244" w14:paraId="773D17B4"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7B3C5A9" w14:textId="77777777" w:rsidR="007F2244" w:rsidRDefault="00000000">
            <w:pPr>
              <w:spacing w:line="264" w:lineRule="auto"/>
            </w:pPr>
            <w:r>
              <w:rPr>
                <w:sz w:val="18"/>
                <w:szCs w:val="18"/>
              </w:rPr>
              <w:t>Food safety</w:t>
            </w:r>
          </w:p>
        </w:tc>
        <w:tc>
          <w:tcPr>
            <w:tcW w:w="3380" w:type="dxa"/>
            <w:shd w:val="clear" w:color="auto" w:fill="FFFFFF"/>
            <w:tcMar>
              <w:top w:w="70" w:type="dxa"/>
              <w:left w:w="110" w:type="dxa"/>
              <w:bottom w:w="70" w:type="dxa"/>
              <w:right w:w="110" w:type="dxa"/>
            </w:tcMar>
          </w:tcPr>
          <w:p w14:paraId="56B2C547" w14:textId="77777777" w:rsidR="007F2244" w:rsidRDefault="00000000">
            <w:pPr>
              <w:spacing w:line="264" w:lineRule="auto"/>
            </w:pPr>
            <w:r>
              <w:rPr>
                <w:sz w:val="18"/>
                <w:szCs w:val="18"/>
              </w:rPr>
              <w:t>“82 … may reflect service quality” (CONTRIBUTING)</w:t>
            </w:r>
          </w:p>
        </w:tc>
        <w:tc>
          <w:tcPr>
            <w:tcW w:w="3380" w:type="dxa"/>
            <w:shd w:val="clear" w:color="auto" w:fill="FFFFFF"/>
            <w:tcMar>
              <w:top w:w="70" w:type="dxa"/>
              <w:left w:w="110" w:type="dxa"/>
              <w:bottom w:w="70" w:type="dxa"/>
              <w:right w:w="110" w:type="dxa"/>
            </w:tcMar>
          </w:tcPr>
          <w:p w14:paraId="23470950" w14:textId="77777777" w:rsidR="007F2244" w:rsidRDefault="00000000">
            <w:pPr>
              <w:spacing w:line="264" w:lineRule="auto"/>
            </w:pPr>
            <w:r>
              <w:rPr>
                <w:sz w:val="18"/>
                <w:szCs w:val="18"/>
              </w:rPr>
              <w:t xml:space="preserve">Checks: 82 is above the 80 </w:t>
            </w:r>
            <w:proofErr w:type="gramStart"/>
            <w:r>
              <w:rPr>
                <w:sz w:val="18"/>
                <w:szCs w:val="18"/>
              </w:rPr>
              <w:t>floor</w:t>
            </w:r>
            <w:proofErr w:type="gramEnd"/>
            <w:r>
              <w:rPr>
                <w:sz w:val="18"/>
                <w:szCs w:val="18"/>
              </w:rPr>
              <w:t xml:space="preserve"> → not a factor → removed</w:t>
            </w:r>
          </w:p>
        </w:tc>
      </w:tr>
    </w:tbl>
    <w:p w14:paraId="7DC345D4" w14:textId="77777777" w:rsidR="007F2244" w:rsidRDefault="007F2244">
      <w:pPr>
        <w:spacing w:after="80"/>
      </w:pPr>
    </w:p>
    <w:p w14:paraId="475AD684" w14:textId="77777777" w:rsidR="007F2244" w:rsidRDefault="00000000">
      <w:pPr>
        <w:spacing w:after="120" w:line="276" w:lineRule="auto"/>
      </w:pPr>
      <w:r>
        <w:t xml:space="preserve">Two things jump out: the agentic card has </w:t>
      </w:r>
      <w:r>
        <w:rPr>
          <w:b/>
          <w:bCs/>
        </w:rPr>
        <w:t>no “may” anywhere</w:t>
      </w:r>
      <w:r>
        <w:t xml:space="preserve"> (every “may” in the current card is a spot where it's guessing), and it's </w:t>
      </w:r>
      <w:r>
        <w:rPr>
          <w:b/>
          <w:bCs/>
        </w:rPr>
        <w:t>shorter</w:t>
      </w:r>
      <w:r>
        <w:t xml:space="preserve"> — but every line is </w:t>
      </w:r>
      <w:proofErr w:type="gramStart"/>
      <w:r>
        <w:t>load-bearing</w:t>
      </w:r>
      <w:proofErr w:type="gramEnd"/>
      <w:r>
        <w:t>.</w:t>
      </w:r>
    </w:p>
    <w:tbl>
      <w:tblPr>
        <w:tblW w:w="9360" w:type="dxa"/>
        <w:tblBorders>
          <w:top w:val="single" w:sz="4" w:space="0" w:color="1C0087"/>
          <w:left w:val="single" w:sz="26" w:space="0" w:color="1C0087"/>
          <w:bottom w:val="single" w:sz="4" w:space="0" w:color="1C0087"/>
          <w:right w:val="single" w:sz="4" w:space="0" w:color="1C008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2244" w14:paraId="5DEED565" w14:textId="77777777">
        <w:tblPrEx>
          <w:tblCellMar>
            <w:top w:w="0" w:type="dxa"/>
            <w:bottom w:w="0" w:type="dxa"/>
          </w:tblCellMar>
        </w:tblPrEx>
        <w:tc>
          <w:tcPr>
            <w:tcW w:w="9360" w:type="dxa"/>
            <w:shd w:val="clear" w:color="auto" w:fill="E9F2FC"/>
            <w:tcMar>
              <w:top w:w="100" w:type="dxa"/>
              <w:left w:w="160" w:type="dxa"/>
              <w:bottom w:w="100" w:type="dxa"/>
              <w:right w:w="160" w:type="dxa"/>
            </w:tcMar>
          </w:tcPr>
          <w:p w14:paraId="02E47394" w14:textId="77777777" w:rsidR="007F2244" w:rsidRDefault="00000000">
            <w:pPr>
              <w:spacing w:after="60"/>
            </w:pPr>
            <w:r>
              <w:rPr>
                <w:b/>
                <w:bCs/>
                <w:color w:val="1C0087"/>
              </w:rPr>
              <w:t>Confident essay vs evidence file</w:t>
            </w:r>
          </w:p>
          <w:p w14:paraId="11329E47" w14:textId="77777777" w:rsidR="007F2244" w:rsidRDefault="00000000">
            <w:pPr>
              <w:spacing w:after="40" w:line="268" w:lineRule="auto"/>
            </w:pPr>
            <w:r>
              <w:t xml:space="preserve">The current card is a </w:t>
            </w:r>
            <w:r>
              <w:rPr>
                <w:b/>
                <w:bCs/>
                <w:color w:val="A11B33"/>
              </w:rPr>
              <w:t>confident essay</w:t>
            </w:r>
            <w:r>
              <w:t xml:space="preserve">. The agentic card is an </w:t>
            </w:r>
            <w:r>
              <w:rPr>
                <w:b/>
                <w:bCs/>
                <w:color w:val="1C0087"/>
              </w:rPr>
              <w:t>evidence file</w:t>
            </w:r>
            <w:r>
              <w:t xml:space="preserve"> — every line traces to a check. For something a franchisee acts on, you want the evidence file, even if it's less dramatic. Rich-but-partly-wrong is </w:t>
            </w:r>
            <w:r>
              <w:rPr>
                <w:i/>
                <w:iCs/>
              </w:rPr>
              <w:t>more</w:t>
            </w:r>
            <w:r>
              <w:t xml:space="preserve"> dangerous than lean-but-right, because it's persuasive.</w:t>
            </w:r>
          </w:p>
        </w:tc>
      </w:tr>
    </w:tbl>
    <w:p w14:paraId="2E7D7F1A" w14:textId="77777777" w:rsidR="007F2244" w:rsidRDefault="00000000">
      <w:pPr>
        <w:pStyle w:val="Heading1"/>
        <w:spacing w:before="320" w:after="140"/>
      </w:pPr>
      <w:bookmarkStart w:id="9" w:name="_Toc235094878"/>
      <w:r>
        <w:t>6</w:t>
      </w:r>
      <w:proofErr w:type="gramStart"/>
      <w:r>
        <w:t>.  What</w:t>
      </w:r>
      <w:proofErr w:type="gramEnd"/>
      <w:r>
        <w:t xml:space="preserve"> changes across the system</w:t>
      </w:r>
      <w:bookmarkEnd w:id="9"/>
    </w:p>
    <w:p w14:paraId="1F81C224" w14:textId="77777777" w:rsidR="007F2244" w:rsidRDefault="00000000">
      <w:pPr>
        <w:spacing w:after="120" w:line="276" w:lineRule="auto"/>
      </w:pPr>
      <w:r>
        <w:t>The agent doesn't just improve the card — it reshapes several subsystems:</w:t>
      </w:r>
    </w:p>
    <w:tbl>
      <w:tblPr>
        <w:tblW w:w="9360" w:type="dxa"/>
        <w:tblBorders>
          <w:top w:val="single" w:sz="2" w:space="0" w:color="C2C8DA"/>
          <w:left w:val="single" w:sz="2" w:space="0" w:color="C2C8DA"/>
          <w:bottom w:val="single" w:sz="2" w:space="0" w:color="C2C8DA"/>
          <w:right w:val="single" w:sz="2" w:space="0" w:color="C2C8DA"/>
          <w:insideH w:val="single" w:sz="2" w:space="0" w:color="D8DCE8"/>
          <w:insideV w:val="single" w:sz="2" w:space="0" w:color="D8DCE8"/>
        </w:tblBorders>
        <w:tblCellMar>
          <w:left w:w="10" w:type="dxa"/>
          <w:right w:w="10" w:type="dxa"/>
        </w:tblCellMar>
        <w:tblLook w:val="0000" w:firstRow="0" w:lastRow="0" w:firstColumn="0" w:lastColumn="0" w:noHBand="0" w:noVBand="0"/>
      </w:tblPr>
      <w:tblGrid>
        <w:gridCol w:w="2200"/>
        <w:gridCol w:w="3580"/>
        <w:gridCol w:w="3580"/>
      </w:tblGrid>
      <w:tr w:rsidR="007F2244" w14:paraId="45808212" w14:textId="77777777">
        <w:tblPrEx>
          <w:tblCellMar>
            <w:top w:w="0" w:type="dxa"/>
            <w:bottom w:w="0" w:type="dxa"/>
          </w:tblCellMar>
        </w:tblPrEx>
        <w:trPr>
          <w:tblHeader/>
        </w:trPr>
        <w:tc>
          <w:tcPr>
            <w:tcW w:w="2200" w:type="dxa"/>
            <w:shd w:val="clear" w:color="auto" w:fill="1C0087"/>
            <w:tcMar>
              <w:top w:w="70" w:type="dxa"/>
              <w:left w:w="110" w:type="dxa"/>
              <w:bottom w:w="70" w:type="dxa"/>
              <w:right w:w="110" w:type="dxa"/>
            </w:tcMar>
          </w:tcPr>
          <w:p w14:paraId="5001B3AC" w14:textId="77777777" w:rsidR="007F2244" w:rsidRDefault="00000000">
            <w:pPr>
              <w:spacing w:line="264" w:lineRule="auto"/>
            </w:pPr>
            <w:r>
              <w:rPr>
                <w:b/>
                <w:bCs/>
                <w:color w:val="FFFFFF"/>
                <w:sz w:val="18"/>
                <w:szCs w:val="18"/>
              </w:rPr>
              <w:t>Area</w:t>
            </w:r>
          </w:p>
        </w:tc>
        <w:tc>
          <w:tcPr>
            <w:tcW w:w="3580" w:type="dxa"/>
            <w:shd w:val="clear" w:color="auto" w:fill="1C0087"/>
            <w:tcMar>
              <w:top w:w="70" w:type="dxa"/>
              <w:left w:w="110" w:type="dxa"/>
              <w:bottom w:w="70" w:type="dxa"/>
              <w:right w:w="110" w:type="dxa"/>
            </w:tcMar>
          </w:tcPr>
          <w:p w14:paraId="6C56AA18" w14:textId="77777777" w:rsidR="007F2244" w:rsidRDefault="00000000">
            <w:pPr>
              <w:spacing w:line="264" w:lineRule="auto"/>
            </w:pPr>
            <w:r>
              <w:rPr>
                <w:b/>
                <w:bCs/>
                <w:color w:val="FFFFFF"/>
                <w:sz w:val="18"/>
                <w:szCs w:val="18"/>
              </w:rPr>
              <w:t>Today</w:t>
            </w:r>
          </w:p>
        </w:tc>
        <w:tc>
          <w:tcPr>
            <w:tcW w:w="3580" w:type="dxa"/>
            <w:shd w:val="clear" w:color="auto" w:fill="1C0087"/>
            <w:tcMar>
              <w:top w:w="70" w:type="dxa"/>
              <w:left w:w="110" w:type="dxa"/>
              <w:bottom w:w="70" w:type="dxa"/>
              <w:right w:w="110" w:type="dxa"/>
            </w:tcMar>
          </w:tcPr>
          <w:p w14:paraId="53C8480A" w14:textId="77777777" w:rsidR="007F2244" w:rsidRDefault="00000000">
            <w:pPr>
              <w:spacing w:line="264" w:lineRule="auto"/>
            </w:pPr>
            <w:r>
              <w:rPr>
                <w:b/>
                <w:bCs/>
                <w:color w:val="FFFFFF"/>
                <w:sz w:val="18"/>
                <w:szCs w:val="18"/>
              </w:rPr>
              <w:t>With the agent</w:t>
            </w:r>
          </w:p>
        </w:tc>
      </w:tr>
      <w:tr w:rsidR="007F2244" w14:paraId="0AFF4C4F"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6E0ACF97" w14:textId="77777777" w:rsidR="007F2244" w:rsidRDefault="00000000">
            <w:pPr>
              <w:spacing w:line="264" w:lineRule="auto"/>
            </w:pPr>
            <w:r>
              <w:rPr>
                <w:sz w:val="18"/>
                <w:szCs w:val="18"/>
              </w:rPr>
              <w:t>Detection</w:t>
            </w:r>
          </w:p>
        </w:tc>
        <w:tc>
          <w:tcPr>
            <w:tcW w:w="3580" w:type="dxa"/>
            <w:shd w:val="clear" w:color="auto" w:fill="FFFFFF"/>
            <w:tcMar>
              <w:top w:w="70" w:type="dxa"/>
              <w:left w:w="110" w:type="dxa"/>
              <w:bottom w:w="70" w:type="dxa"/>
              <w:right w:w="110" w:type="dxa"/>
            </w:tcMar>
          </w:tcPr>
          <w:p w14:paraId="2FCAD901" w14:textId="77777777" w:rsidR="007F2244" w:rsidRDefault="00000000">
            <w:pPr>
              <w:spacing w:line="264" w:lineRule="auto"/>
            </w:pPr>
            <w:r>
              <w:rPr>
                <w:sz w:val="18"/>
                <w:szCs w:val="18"/>
              </w:rPr>
              <w:t>Deterministic rules (kept). Recently recalibrated: point-drops not ratios, FSA floor-only, per-metric bands.</w:t>
            </w:r>
          </w:p>
        </w:tc>
        <w:tc>
          <w:tcPr>
            <w:tcW w:w="3580" w:type="dxa"/>
            <w:shd w:val="clear" w:color="auto" w:fill="FFFFFF"/>
            <w:tcMar>
              <w:top w:w="70" w:type="dxa"/>
              <w:left w:w="110" w:type="dxa"/>
              <w:bottom w:w="70" w:type="dxa"/>
              <w:right w:w="110" w:type="dxa"/>
            </w:tcMar>
          </w:tcPr>
          <w:p w14:paraId="13F3CCAA" w14:textId="77777777" w:rsidR="007F2244" w:rsidRDefault="00000000">
            <w:pPr>
              <w:spacing w:line="264" w:lineRule="auto"/>
            </w:pPr>
            <w:r>
              <w:rPr>
                <w:sz w:val="18"/>
                <w:szCs w:val="18"/>
              </w:rPr>
              <w:t>Unchanged — still rules-first, so “what's a problem” is never the model's call.</w:t>
            </w:r>
          </w:p>
        </w:tc>
      </w:tr>
      <w:tr w:rsidR="007F2244" w14:paraId="467E7A8D" w14:textId="77777777">
        <w:tblPrEx>
          <w:tblCellMar>
            <w:top w:w="0" w:type="dxa"/>
            <w:bottom w:w="0" w:type="dxa"/>
          </w:tblCellMar>
        </w:tblPrEx>
        <w:tc>
          <w:tcPr>
            <w:tcW w:w="2200" w:type="dxa"/>
            <w:shd w:val="clear" w:color="auto" w:fill="F4F6FB"/>
            <w:tcMar>
              <w:top w:w="70" w:type="dxa"/>
              <w:left w:w="110" w:type="dxa"/>
              <w:bottom w:w="70" w:type="dxa"/>
              <w:right w:w="110" w:type="dxa"/>
            </w:tcMar>
          </w:tcPr>
          <w:p w14:paraId="7F1F2F2A" w14:textId="77777777" w:rsidR="007F2244" w:rsidRDefault="00000000">
            <w:pPr>
              <w:spacing w:line="264" w:lineRule="auto"/>
            </w:pPr>
            <w:r>
              <w:rPr>
                <w:sz w:val="18"/>
                <w:szCs w:val="18"/>
              </w:rPr>
              <w:lastRenderedPageBreak/>
              <w:t>Metric correlation</w:t>
            </w:r>
          </w:p>
        </w:tc>
        <w:tc>
          <w:tcPr>
            <w:tcW w:w="3580" w:type="dxa"/>
            <w:shd w:val="clear" w:color="auto" w:fill="F4F6FB"/>
            <w:tcMar>
              <w:top w:w="70" w:type="dxa"/>
              <w:left w:w="110" w:type="dxa"/>
              <w:bottom w:w="70" w:type="dxa"/>
              <w:right w:w="110" w:type="dxa"/>
            </w:tcMar>
          </w:tcPr>
          <w:p w14:paraId="6A614E80" w14:textId="77777777" w:rsidR="007F2244" w:rsidRDefault="00000000">
            <w:pPr>
              <w:spacing w:line="264" w:lineRule="auto"/>
            </w:pPr>
            <w:r>
              <w:rPr>
                <w:sz w:val="18"/>
                <w:szCs w:val="18"/>
              </w:rPr>
              <w:t>Lead/lag correlation auto-narrated as “root cause.”</w:t>
            </w:r>
          </w:p>
        </w:tc>
        <w:tc>
          <w:tcPr>
            <w:tcW w:w="3580" w:type="dxa"/>
            <w:shd w:val="clear" w:color="auto" w:fill="F4F6FB"/>
            <w:tcMar>
              <w:top w:w="70" w:type="dxa"/>
              <w:left w:w="110" w:type="dxa"/>
              <w:bottom w:w="70" w:type="dxa"/>
              <w:right w:w="110" w:type="dxa"/>
            </w:tcMar>
          </w:tcPr>
          <w:p w14:paraId="320D623D" w14:textId="77777777" w:rsidR="007F2244" w:rsidRDefault="00000000">
            <w:pPr>
              <w:spacing w:line="264" w:lineRule="auto"/>
            </w:pPr>
            <w:r>
              <w:rPr>
                <w:sz w:val="18"/>
                <w:szCs w:val="18"/>
              </w:rPr>
              <w:t xml:space="preserve">Becomes a tool the agent calls — and </w:t>
            </w:r>
            <w:proofErr w:type="gramStart"/>
            <w:r>
              <w:rPr>
                <w:sz w:val="18"/>
                <w:szCs w:val="18"/>
              </w:rPr>
              <w:t>cross-checks</w:t>
            </w:r>
            <w:proofErr w:type="gramEnd"/>
            <w:r>
              <w:rPr>
                <w:sz w:val="18"/>
                <w:szCs w:val="18"/>
              </w:rPr>
              <w:t xml:space="preserve"> against decomposition/peers before calling it a cause.</w:t>
            </w:r>
          </w:p>
        </w:tc>
      </w:tr>
      <w:tr w:rsidR="007F2244" w14:paraId="6FEBC6AE"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7D305C7E" w14:textId="77777777" w:rsidR="007F2244" w:rsidRDefault="00000000">
            <w:pPr>
              <w:spacing w:line="264" w:lineRule="auto"/>
            </w:pPr>
            <w:r>
              <w:rPr>
                <w:sz w:val="18"/>
                <w:szCs w:val="18"/>
              </w:rPr>
              <w:t>Store correlation</w:t>
            </w:r>
          </w:p>
        </w:tc>
        <w:tc>
          <w:tcPr>
            <w:tcW w:w="3580" w:type="dxa"/>
            <w:shd w:val="clear" w:color="auto" w:fill="FFFFFF"/>
            <w:tcMar>
              <w:top w:w="70" w:type="dxa"/>
              <w:left w:w="110" w:type="dxa"/>
              <w:bottom w:w="70" w:type="dxa"/>
              <w:right w:w="110" w:type="dxa"/>
            </w:tcMar>
          </w:tcPr>
          <w:p w14:paraId="435955D8" w14:textId="77777777" w:rsidR="007F2244" w:rsidRDefault="00000000">
            <w:pPr>
              <w:spacing w:line="264" w:lineRule="auto"/>
            </w:pPr>
            <w:r>
              <w:rPr>
                <w:sz w:val="18"/>
                <w:szCs w:val="18"/>
              </w:rPr>
              <w:t>Counts flagged stores sharing an FBC/area/region — co-occurrence, no cause.</w:t>
            </w:r>
          </w:p>
        </w:tc>
        <w:tc>
          <w:tcPr>
            <w:tcW w:w="3580" w:type="dxa"/>
            <w:shd w:val="clear" w:color="auto" w:fill="FFFFFF"/>
            <w:tcMar>
              <w:top w:w="70" w:type="dxa"/>
              <w:left w:w="110" w:type="dxa"/>
              <w:bottom w:w="70" w:type="dxa"/>
              <w:right w:w="110" w:type="dxa"/>
            </w:tcMar>
          </w:tcPr>
          <w:p w14:paraId="553F13E9" w14:textId="77777777" w:rsidR="007F2244" w:rsidRDefault="00000000">
            <w:pPr>
              <w:spacing w:line="264" w:lineRule="auto"/>
            </w:pPr>
            <w:r>
              <w:rPr>
                <w:sz w:val="18"/>
                <w:szCs w:val="18"/>
              </w:rPr>
              <w:t>Correlates on shared root cause; rolls several stores into one systemic insight.</w:t>
            </w:r>
          </w:p>
        </w:tc>
      </w:tr>
      <w:tr w:rsidR="007F2244" w14:paraId="7391FFC4" w14:textId="77777777">
        <w:tblPrEx>
          <w:tblCellMar>
            <w:top w:w="0" w:type="dxa"/>
            <w:bottom w:w="0" w:type="dxa"/>
          </w:tblCellMar>
        </w:tblPrEx>
        <w:tc>
          <w:tcPr>
            <w:tcW w:w="2200" w:type="dxa"/>
            <w:shd w:val="clear" w:color="auto" w:fill="F4F6FB"/>
            <w:tcMar>
              <w:top w:w="70" w:type="dxa"/>
              <w:left w:w="110" w:type="dxa"/>
              <w:bottom w:w="70" w:type="dxa"/>
              <w:right w:w="110" w:type="dxa"/>
            </w:tcMar>
          </w:tcPr>
          <w:p w14:paraId="4331F6C6" w14:textId="77777777" w:rsidR="007F2244" w:rsidRDefault="00000000">
            <w:pPr>
              <w:spacing w:line="264" w:lineRule="auto"/>
            </w:pPr>
            <w:r>
              <w:rPr>
                <w:sz w:val="18"/>
                <w:szCs w:val="18"/>
              </w:rPr>
              <w:t>External factors</w:t>
            </w:r>
          </w:p>
        </w:tc>
        <w:tc>
          <w:tcPr>
            <w:tcW w:w="3580" w:type="dxa"/>
            <w:shd w:val="clear" w:color="auto" w:fill="F4F6FB"/>
            <w:tcMar>
              <w:top w:w="70" w:type="dxa"/>
              <w:left w:w="110" w:type="dxa"/>
              <w:bottom w:w="70" w:type="dxa"/>
              <w:right w:w="110" w:type="dxa"/>
            </w:tcMar>
          </w:tcPr>
          <w:p w14:paraId="6ED4E39E" w14:textId="77777777" w:rsidR="007F2244" w:rsidRDefault="00000000">
            <w:pPr>
              <w:spacing w:line="264" w:lineRule="auto"/>
            </w:pPr>
            <w:r>
              <w:rPr>
                <w:sz w:val="18"/>
                <w:szCs w:val="18"/>
              </w:rPr>
              <w:t>Absent (not in the data).</w:t>
            </w:r>
          </w:p>
        </w:tc>
        <w:tc>
          <w:tcPr>
            <w:tcW w:w="3580" w:type="dxa"/>
            <w:shd w:val="clear" w:color="auto" w:fill="F4F6FB"/>
            <w:tcMar>
              <w:top w:w="70" w:type="dxa"/>
              <w:left w:w="110" w:type="dxa"/>
              <w:bottom w:w="70" w:type="dxa"/>
              <w:right w:w="110" w:type="dxa"/>
            </w:tcMar>
          </w:tcPr>
          <w:p w14:paraId="782D0E7E" w14:textId="77777777" w:rsidR="007F2244" w:rsidRDefault="00000000">
            <w:pPr>
              <w:spacing w:line="264" w:lineRule="auto"/>
            </w:pPr>
            <w:r>
              <w:rPr>
                <w:sz w:val="18"/>
                <w:szCs w:val="18"/>
              </w:rPr>
              <w:t>Raised as labelled hypotheses (“worth checking — not confirmed”), steered by the store-vs-cohort signal.</w:t>
            </w:r>
          </w:p>
        </w:tc>
      </w:tr>
      <w:tr w:rsidR="007F2244" w14:paraId="446F9045"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430DF61E" w14:textId="77777777" w:rsidR="007F2244" w:rsidRDefault="00000000">
            <w:pPr>
              <w:spacing w:line="264" w:lineRule="auto"/>
            </w:pPr>
            <w:r>
              <w:rPr>
                <w:sz w:val="18"/>
                <w:szCs w:val="18"/>
              </w:rPr>
              <w:t>Routing</w:t>
            </w:r>
          </w:p>
        </w:tc>
        <w:tc>
          <w:tcPr>
            <w:tcW w:w="3580" w:type="dxa"/>
            <w:shd w:val="clear" w:color="auto" w:fill="FFFFFF"/>
            <w:tcMar>
              <w:top w:w="70" w:type="dxa"/>
              <w:left w:w="110" w:type="dxa"/>
              <w:bottom w:w="70" w:type="dxa"/>
              <w:right w:w="110" w:type="dxa"/>
            </w:tcMar>
          </w:tcPr>
          <w:p w14:paraId="09A7B6BE" w14:textId="77777777" w:rsidR="007F2244" w:rsidRDefault="00000000">
            <w:pPr>
              <w:spacing w:line="264" w:lineRule="auto"/>
            </w:pPr>
            <w:r>
              <w:rPr>
                <w:sz w:val="18"/>
                <w:szCs w:val="18"/>
              </w:rPr>
              <w:t>Flat: whole hierarchy attached to every card.</w:t>
            </w:r>
          </w:p>
        </w:tc>
        <w:tc>
          <w:tcPr>
            <w:tcW w:w="3580" w:type="dxa"/>
            <w:shd w:val="clear" w:color="auto" w:fill="FFFFFF"/>
            <w:tcMar>
              <w:top w:w="70" w:type="dxa"/>
              <w:left w:w="110" w:type="dxa"/>
              <w:bottom w:w="70" w:type="dxa"/>
              <w:right w:w="110" w:type="dxa"/>
            </w:tcMar>
          </w:tcPr>
          <w:p w14:paraId="021A4256" w14:textId="77777777" w:rsidR="007F2244" w:rsidRDefault="00000000">
            <w:pPr>
              <w:spacing w:line="264" w:lineRule="auto"/>
            </w:pPr>
            <w:r>
              <w:rPr>
                <w:sz w:val="18"/>
                <w:szCs w:val="18"/>
              </w:rPr>
              <w:t xml:space="preserve">Cause- and level-aware: store issue → FBC; cohort issue → up a level. Contacts </w:t>
            </w:r>
            <w:proofErr w:type="gramStart"/>
            <w:r>
              <w:rPr>
                <w:sz w:val="18"/>
                <w:szCs w:val="18"/>
              </w:rPr>
              <w:t>still</w:t>
            </w:r>
            <w:proofErr w:type="gramEnd"/>
            <w:r>
              <w:rPr>
                <w:sz w:val="18"/>
                <w:szCs w:val="18"/>
              </w:rPr>
              <w:t xml:space="preserve"> resolved deterministically.</w:t>
            </w:r>
          </w:p>
        </w:tc>
      </w:tr>
      <w:tr w:rsidR="007F2244" w14:paraId="2C4F6D36" w14:textId="77777777">
        <w:tblPrEx>
          <w:tblCellMar>
            <w:top w:w="0" w:type="dxa"/>
            <w:bottom w:w="0" w:type="dxa"/>
          </w:tblCellMar>
        </w:tblPrEx>
        <w:tc>
          <w:tcPr>
            <w:tcW w:w="2200" w:type="dxa"/>
            <w:shd w:val="clear" w:color="auto" w:fill="F4F6FB"/>
            <w:tcMar>
              <w:top w:w="70" w:type="dxa"/>
              <w:left w:w="110" w:type="dxa"/>
              <w:bottom w:w="70" w:type="dxa"/>
              <w:right w:w="110" w:type="dxa"/>
            </w:tcMar>
          </w:tcPr>
          <w:p w14:paraId="06FE754C" w14:textId="77777777" w:rsidR="007F2244" w:rsidRDefault="00000000">
            <w:pPr>
              <w:spacing w:line="264" w:lineRule="auto"/>
            </w:pPr>
            <w:r>
              <w:rPr>
                <w:sz w:val="18"/>
                <w:szCs w:val="18"/>
              </w:rPr>
              <w:t>Email / Teams alerts</w:t>
            </w:r>
          </w:p>
        </w:tc>
        <w:tc>
          <w:tcPr>
            <w:tcW w:w="3580" w:type="dxa"/>
            <w:shd w:val="clear" w:color="auto" w:fill="F4F6FB"/>
            <w:tcMar>
              <w:top w:w="70" w:type="dxa"/>
              <w:left w:w="110" w:type="dxa"/>
              <w:bottom w:w="70" w:type="dxa"/>
              <w:right w:w="110" w:type="dxa"/>
            </w:tcMar>
          </w:tcPr>
          <w:p w14:paraId="6AE6A100" w14:textId="77777777" w:rsidR="007F2244" w:rsidRDefault="00000000">
            <w:pPr>
              <w:spacing w:line="264" w:lineRule="auto"/>
            </w:pPr>
            <w:r>
              <w:rPr>
                <w:sz w:val="18"/>
                <w:szCs w:val="18"/>
              </w:rPr>
              <w:t>Severity-gated, one per insight.</w:t>
            </w:r>
          </w:p>
        </w:tc>
        <w:tc>
          <w:tcPr>
            <w:tcW w:w="3580" w:type="dxa"/>
            <w:shd w:val="clear" w:color="auto" w:fill="F4F6FB"/>
            <w:tcMar>
              <w:top w:w="70" w:type="dxa"/>
              <w:left w:w="110" w:type="dxa"/>
              <w:bottom w:w="70" w:type="dxa"/>
              <w:right w:w="110" w:type="dxa"/>
            </w:tcMar>
          </w:tcPr>
          <w:p w14:paraId="2CBB6647" w14:textId="77777777" w:rsidR="007F2244" w:rsidRDefault="00000000">
            <w:pPr>
              <w:spacing w:line="264" w:lineRule="auto"/>
            </w:pPr>
            <w:r>
              <w:rPr>
                <w:sz w:val="18"/>
                <w:szCs w:val="18"/>
              </w:rPr>
              <w:t>Fewer, higher-confidence; rolled-up (5 stores → 1 alert); carry a decision; actionable with no nagging.</w:t>
            </w:r>
          </w:p>
        </w:tc>
      </w:tr>
    </w:tbl>
    <w:p w14:paraId="7E1D8C07" w14:textId="77777777" w:rsidR="007F2244" w:rsidRDefault="007F2244">
      <w:pPr>
        <w:spacing w:after="100"/>
      </w:pPr>
    </w:p>
    <w:p w14:paraId="4E91D976" w14:textId="77777777" w:rsidR="007F2244" w:rsidRDefault="00000000">
      <w:pPr>
        <w:spacing w:after="120" w:line="276" w:lineRule="auto"/>
      </w:pPr>
      <w:r>
        <w:t>The correlation and routing changes are tightly linked — a shared cause across a cohort is exactly what turns five store alerts into one area alert, routed a level up:</w:t>
      </w:r>
    </w:p>
    <w:p w14:paraId="4C505384" w14:textId="77777777" w:rsidR="007F2244" w:rsidRDefault="00000000">
      <w:pPr>
        <w:spacing w:before="120" w:after="60"/>
        <w:jc w:val="center"/>
      </w:pPr>
      <w:r>
        <w:rPr>
          <w:noProof/>
        </w:rPr>
        <w:drawing>
          <wp:inline distT="0" distB="0" distL="0" distR="0" wp14:anchorId="4E3AB2FC" wp14:editId="3CF141FE">
            <wp:extent cx="5715000" cy="3095625"/>
            <wp:effectExtent l="0" t="0" r="0" b="0"/>
            <wp:docPr id="673832180" name="Picture 67383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95625"/>
                    </a:xfrm>
                    <a:prstGeom prst="rect">
                      <a:avLst/>
                    </a:prstGeom>
                  </pic:spPr>
                </pic:pic>
              </a:graphicData>
            </a:graphic>
          </wp:inline>
        </w:drawing>
      </w:r>
    </w:p>
    <w:p w14:paraId="40A0CC04" w14:textId="77777777" w:rsidR="007F2244" w:rsidRDefault="00000000">
      <w:pPr>
        <w:spacing w:after="180"/>
        <w:jc w:val="center"/>
      </w:pPr>
      <w:r>
        <w:rPr>
          <w:i/>
          <w:iCs/>
          <w:color w:val="44444F"/>
          <w:sz w:val="17"/>
          <w:szCs w:val="17"/>
        </w:rPr>
        <w:t>Figure 4 — From co-flagging to shared-cause: five separate store pings become one systemic insight, routed to the right level.</w:t>
      </w:r>
    </w:p>
    <w:tbl>
      <w:tblPr>
        <w:tblW w:w="9360" w:type="dxa"/>
        <w:tblBorders>
          <w:top w:val="single" w:sz="4" w:space="0" w:color="0086EA"/>
          <w:left w:val="single" w:sz="26" w:space="0" w:color="0086EA"/>
          <w:bottom w:val="single" w:sz="4" w:space="0" w:color="0086EA"/>
          <w:right w:val="single" w:sz="4" w:space="0" w:color="0086E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2244" w14:paraId="47523849" w14:textId="77777777">
        <w:tblPrEx>
          <w:tblCellMar>
            <w:top w:w="0" w:type="dxa"/>
            <w:bottom w:w="0" w:type="dxa"/>
          </w:tblCellMar>
        </w:tblPrEx>
        <w:tc>
          <w:tcPr>
            <w:tcW w:w="9360" w:type="dxa"/>
            <w:shd w:val="clear" w:color="auto" w:fill="E9F2FC"/>
            <w:tcMar>
              <w:top w:w="100" w:type="dxa"/>
              <w:left w:w="160" w:type="dxa"/>
              <w:bottom w:w="100" w:type="dxa"/>
              <w:right w:w="160" w:type="dxa"/>
            </w:tcMar>
          </w:tcPr>
          <w:p w14:paraId="73BF7FDB" w14:textId="77777777" w:rsidR="007F2244" w:rsidRDefault="00000000">
            <w:pPr>
              <w:spacing w:after="60"/>
            </w:pPr>
            <w:r>
              <w:rPr>
                <w:b/>
                <w:bCs/>
                <w:color w:val="0086EA"/>
              </w:rPr>
              <w:t>The connecting idea</w:t>
            </w:r>
          </w:p>
          <w:p w14:paraId="1498DC90" w14:textId="77777777" w:rsidR="007F2244" w:rsidRDefault="00000000">
            <w:pPr>
              <w:spacing w:after="40" w:line="268" w:lineRule="auto"/>
            </w:pPr>
            <w:r>
              <w:t xml:space="preserve">A shared cause across a cohort is the strongest cue that an </w:t>
            </w:r>
            <w:r>
              <w:rPr>
                <w:b/>
                <w:bCs/>
              </w:rPr>
              <w:t>external / market</w:t>
            </w:r>
            <w:r>
              <w:t xml:space="preserve"> factor is in play. When the agent finds five stores with the same root cause, that's when it raises market-level hypotheses; one isolated store points at local ones. Correlation tells the </w:t>
            </w:r>
            <w:proofErr w:type="gramStart"/>
            <w:r>
              <w:t>external-factor</w:t>
            </w:r>
            <w:proofErr w:type="gramEnd"/>
            <w:r>
              <w:t xml:space="preserve"> step </w:t>
            </w:r>
            <w:r>
              <w:rPr>
                <w:i/>
                <w:iCs/>
              </w:rPr>
              <w:t>where to look</w:t>
            </w:r>
            <w:r>
              <w:t>.</w:t>
            </w:r>
          </w:p>
        </w:tc>
      </w:tr>
    </w:tbl>
    <w:p w14:paraId="3846164C" w14:textId="77777777" w:rsidR="007F2244" w:rsidRDefault="00000000">
      <w:pPr>
        <w:pStyle w:val="Heading1"/>
        <w:spacing w:before="320" w:after="140"/>
      </w:pPr>
      <w:bookmarkStart w:id="10" w:name="_Toc235094879"/>
      <w:r>
        <w:lastRenderedPageBreak/>
        <w:t>7</w:t>
      </w:r>
      <w:proofErr w:type="gramStart"/>
      <w:r>
        <w:t>.  The</w:t>
      </w:r>
      <w:proofErr w:type="gramEnd"/>
      <w:r>
        <w:t xml:space="preserve"> guardrails that keep it safe</w:t>
      </w:r>
      <w:bookmarkEnd w:id="10"/>
    </w:p>
    <w:p w14:paraId="73D229EA" w14:textId="77777777" w:rsidR="007F2244" w:rsidRDefault="00000000">
      <w:pPr>
        <w:spacing w:after="120" w:line="276" w:lineRule="auto"/>
      </w:pPr>
      <w:r>
        <w:t xml:space="preserve">The agent gains freedom, but inside firm limits — the governing rule is that </w:t>
      </w:r>
      <w:r>
        <w:rPr>
          <w:b/>
          <w:bCs/>
        </w:rPr>
        <w:t>freedom scales with oversight</w:t>
      </w:r>
      <w:r>
        <w:t>:</w:t>
      </w:r>
    </w:p>
    <w:p w14:paraId="609EDAB6" w14:textId="77777777" w:rsidR="007F2244" w:rsidRDefault="00000000">
      <w:pPr>
        <w:pStyle w:val="ListParagraph"/>
        <w:numPr>
          <w:ilvl w:val="0"/>
          <w:numId w:val="2"/>
        </w:numPr>
        <w:spacing w:after="80" w:line="272" w:lineRule="auto"/>
      </w:pPr>
      <w:r>
        <w:t>Tools return measurements, never verdicts — the thinking stays in the model.</w:t>
      </w:r>
    </w:p>
    <w:p w14:paraId="493956C0" w14:textId="77777777" w:rsidR="007F2244" w:rsidRDefault="00000000">
      <w:pPr>
        <w:pStyle w:val="ListParagraph"/>
        <w:numPr>
          <w:ilvl w:val="0"/>
          <w:numId w:val="2"/>
        </w:numPr>
        <w:spacing w:after="80" w:line="272" w:lineRule="auto"/>
      </w:pPr>
      <w:r>
        <w:t>Prefer an analysis tool; drop to raw data only when none fits — most steps stay verified.</w:t>
      </w:r>
    </w:p>
    <w:p w14:paraId="37C1ED66" w14:textId="77777777" w:rsidR="007F2244" w:rsidRDefault="00000000">
      <w:pPr>
        <w:pStyle w:val="ListParagraph"/>
        <w:numPr>
          <w:ilvl w:val="0"/>
          <w:numId w:val="2"/>
        </w:numPr>
        <w:spacing w:after="80" w:line="272" w:lineRule="auto"/>
      </w:pPr>
      <w:r>
        <w:t>The guard still validates every cited number and can fall back deterministically.</w:t>
      </w:r>
    </w:p>
    <w:p w14:paraId="25BD403E" w14:textId="77777777" w:rsidR="007F2244" w:rsidRDefault="00000000">
      <w:pPr>
        <w:pStyle w:val="ListParagraph"/>
        <w:numPr>
          <w:ilvl w:val="0"/>
          <w:numId w:val="2"/>
        </w:numPr>
        <w:spacing w:after="80" w:line="272" w:lineRule="auto"/>
      </w:pPr>
      <w:r>
        <w:t xml:space="preserve">The model chooses the tier and content; the deterministic layer resolves the real contacts and decides whether/when to </w:t>
      </w:r>
      <w:proofErr w:type="gramStart"/>
      <w:r>
        <w:t>actually send</w:t>
      </w:r>
      <w:proofErr w:type="gramEnd"/>
      <w:r>
        <w:t xml:space="preserve"> — the LLM never fires an email itself.</w:t>
      </w:r>
    </w:p>
    <w:p w14:paraId="68564A5C" w14:textId="77777777" w:rsidR="007F2244" w:rsidRDefault="00000000">
      <w:pPr>
        <w:pStyle w:val="ListParagraph"/>
        <w:numPr>
          <w:ilvl w:val="0"/>
          <w:numId w:val="2"/>
        </w:numPr>
        <w:spacing w:after="80" w:line="272" w:lineRule="auto"/>
      </w:pPr>
      <w:r>
        <w:t>Unattended path (auto-routed cards) → verified tools. Human-in-the-loop chat → open SQL is fine, because a person reviews it.</w:t>
      </w:r>
    </w:p>
    <w:p w14:paraId="516FA255" w14:textId="77777777" w:rsidR="007F2244" w:rsidRDefault="00000000">
      <w:pPr>
        <w:pStyle w:val="Heading1"/>
        <w:spacing w:before="320" w:after="140"/>
      </w:pPr>
      <w:bookmarkStart w:id="11" w:name="_Toc235094880"/>
      <w:r>
        <w:t>8</w:t>
      </w:r>
      <w:proofErr w:type="gramStart"/>
      <w:r>
        <w:t>.  Where</w:t>
      </w:r>
      <w:proofErr w:type="gramEnd"/>
      <w:r>
        <w:t xml:space="preserve"> this sits, and the build path</w:t>
      </w:r>
      <w:bookmarkEnd w:id="11"/>
    </w:p>
    <w:p w14:paraId="42B37AD5" w14:textId="77777777" w:rsidR="007F2244" w:rsidRDefault="00000000">
      <w:pPr>
        <w:spacing w:before="120" w:after="60"/>
        <w:jc w:val="center"/>
      </w:pPr>
      <w:r>
        <w:rPr>
          <w:noProof/>
        </w:rPr>
        <w:drawing>
          <wp:inline distT="0" distB="0" distL="0" distR="0" wp14:anchorId="0E7D7BF4" wp14:editId="7F08E879">
            <wp:extent cx="5334000" cy="2914650"/>
            <wp:effectExtent l="0" t="0" r="0" b="0"/>
            <wp:docPr id="1190783442" name="Picture 119078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14650"/>
                    </a:xfrm>
                    <a:prstGeom prst="rect">
                      <a:avLst/>
                    </a:prstGeom>
                  </pic:spPr>
                </pic:pic>
              </a:graphicData>
            </a:graphic>
          </wp:inline>
        </w:drawing>
      </w:r>
    </w:p>
    <w:p w14:paraId="7A7C230E" w14:textId="77777777" w:rsidR="007F2244" w:rsidRDefault="00000000">
      <w:pPr>
        <w:spacing w:after="180"/>
        <w:jc w:val="center"/>
      </w:pPr>
      <w:r>
        <w:rPr>
          <w:i/>
          <w:iCs/>
          <w:color w:val="44444F"/>
          <w:sz w:val="17"/>
          <w:szCs w:val="17"/>
        </w:rPr>
        <w:t xml:space="preserve">Figure 5 — The layers. Build the loop and tools now over the CSVs; the semantic layer </w:t>
      </w:r>
      <w:proofErr w:type="gramStart"/>
      <w:r>
        <w:rPr>
          <w:i/>
          <w:iCs/>
          <w:color w:val="44444F"/>
          <w:sz w:val="17"/>
          <w:szCs w:val="17"/>
        </w:rPr>
        <w:t>slots in</w:t>
      </w:r>
      <w:proofErr w:type="gramEnd"/>
      <w:r>
        <w:rPr>
          <w:i/>
          <w:iCs/>
          <w:color w:val="44444F"/>
          <w:sz w:val="17"/>
          <w:szCs w:val="17"/>
        </w:rPr>
        <w:t xml:space="preserve"> beneath the tools on Fabric.</w:t>
      </w:r>
    </w:p>
    <w:p w14:paraId="0759BC96" w14:textId="77777777" w:rsidR="007F2244" w:rsidRDefault="00000000">
      <w:pPr>
        <w:spacing w:after="120" w:line="276" w:lineRule="auto"/>
      </w:pPr>
      <w:r>
        <w:rPr>
          <w:b/>
          <w:bCs/>
        </w:rPr>
        <w:t xml:space="preserve">Build NOW (prototype): </w:t>
      </w:r>
      <w:r>
        <w:t>the LLM + a handful of analysis tools + the raw-data door + the loop, over the current CSVs. This proves the analyst thesis — the risky, high-value part — cheaply, with no new infrastructure. Keep every metric definition in one place so the tools are swappable later.</w:t>
      </w:r>
    </w:p>
    <w:p w14:paraId="18A47A92" w14:textId="77777777" w:rsidR="007F2244" w:rsidRDefault="00000000">
      <w:pPr>
        <w:spacing w:after="120" w:line="276" w:lineRule="auto"/>
      </w:pPr>
      <w:r>
        <w:rPr>
          <w:b/>
          <w:bCs/>
        </w:rPr>
        <w:t xml:space="preserve">Add LATER (Fabric): </w:t>
      </w:r>
      <w:r>
        <w:t xml:space="preserve">a semantic layer — the governed, business-language definitions of every metric — slots in </w:t>
      </w:r>
      <w:r>
        <w:rPr>
          <w:i/>
          <w:iCs/>
        </w:rPr>
        <w:t>beneath</w:t>
      </w:r>
      <w:r>
        <w:t xml:space="preserve"> the tools. The tools stop hand-writing SQL and </w:t>
      </w:r>
      <w:proofErr w:type="gramStart"/>
      <w:r>
        <w:t>ask</w:t>
      </w:r>
      <w:proofErr w:type="gramEnd"/>
      <w:r>
        <w:t xml:space="preserve"> the Power BI model, so PRISM and the dashboards share one definition of truth. The agent loop above doesn't change.</w:t>
      </w:r>
    </w:p>
    <w:tbl>
      <w:tblPr>
        <w:tblW w:w="9360" w:type="dxa"/>
        <w:tblBorders>
          <w:top w:val="single" w:sz="4" w:space="0" w:color="1C0087"/>
          <w:left w:val="single" w:sz="26" w:space="0" w:color="1C0087"/>
          <w:bottom w:val="single" w:sz="4" w:space="0" w:color="1C0087"/>
          <w:right w:val="single" w:sz="4" w:space="0" w:color="1C008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2244" w14:paraId="1277DF25" w14:textId="77777777">
        <w:tblPrEx>
          <w:tblCellMar>
            <w:top w:w="0" w:type="dxa"/>
            <w:bottom w:w="0" w:type="dxa"/>
          </w:tblCellMar>
        </w:tblPrEx>
        <w:tc>
          <w:tcPr>
            <w:tcW w:w="9360" w:type="dxa"/>
            <w:shd w:val="clear" w:color="auto" w:fill="EDEAF7"/>
            <w:tcMar>
              <w:top w:w="100" w:type="dxa"/>
              <w:left w:w="160" w:type="dxa"/>
              <w:bottom w:w="100" w:type="dxa"/>
              <w:right w:w="160" w:type="dxa"/>
            </w:tcMar>
          </w:tcPr>
          <w:p w14:paraId="78FEEFBA" w14:textId="77777777" w:rsidR="007F2244" w:rsidRDefault="00000000">
            <w:pPr>
              <w:spacing w:after="60"/>
            </w:pPr>
            <w:r>
              <w:rPr>
                <w:b/>
                <w:bCs/>
                <w:color w:val="1C0087"/>
              </w:rPr>
              <w:t>Focus</w:t>
            </w:r>
          </w:p>
          <w:p w14:paraId="673FB7B7" w14:textId="77777777" w:rsidR="007F2244" w:rsidRDefault="00000000">
            <w:pPr>
              <w:spacing w:after="40" w:line="268" w:lineRule="auto"/>
            </w:pPr>
            <w:r>
              <w:t xml:space="preserve">LLM-as-brain is the priority; the semantic layer is what lets you </w:t>
            </w:r>
            <w:r>
              <w:rPr>
                <w:b/>
                <w:bCs/>
              </w:rPr>
              <w:t>scale it safely later</w:t>
            </w:r>
            <w:r>
              <w:t xml:space="preserve">, not what proves it works. Prove it first, cheaply; </w:t>
            </w:r>
            <w:proofErr w:type="spellStart"/>
            <w:r>
              <w:t>formalise</w:t>
            </w:r>
            <w:proofErr w:type="spellEnd"/>
            <w:r>
              <w:t xml:space="preserve"> the foundation once you're on Fabric and it pays off.</w:t>
            </w:r>
          </w:p>
        </w:tc>
      </w:tr>
    </w:tbl>
    <w:p w14:paraId="1BB844FE" w14:textId="77777777" w:rsidR="007F2244" w:rsidRDefault="00000000">
      <w:pPr>
        <w:pStyle w:val="Heading1"/>
        <w:spacing w:before="320" w:after="140"/>
      </w:pPr>
      <w:bookmarkStart w:id="12" w:name="_Toc235094881"/>
      <w:r>
        <w:lastRenderedPageBreak/>
        <w:t>9</w:t>
      </w:r>
      <w:proofErr w:type="gramStart"/>
      <w:r>
        <w:t>.  Current</w:t>
      </w:r>
      <w:proofErr w:type="gramEnd"/>
      <w:r>
        <w:t xml:space="preserve"> vs agentic — </w:t>
      </w:r>
      <w:proofErr w:type="gramStart"/>
      <w:r>
        <w:t>at a glance</w:t>
      </w:r>
      <w:bookmarkEnd w:id="12"/>
      <w:proofErr w:type="gramEnd"/>
    </w:p>
    <w:tbl>
      <w:tblPr>
        <w:tblW w:w="9360" w:type="dxa"/>
        <w:tblBorders>
          <w:top w:val="single" w:sz="2" w:space="0" w:color="C2C8DA"/>
          <w:left w:val="single" w:sz="2" w:space="0" w:color="C2C8DA"/>
          <w:bottom w:val="single" w:sz="2" w:space="0" w:color="C2C8DA"/>
          <w:right w:val="single" w:sz="2" w:space="0" w:color="C2C8DA"/>
          <w:insideH w:val="single" w:sz="2" w:space="0" w:color="D8DCE8"/>
          <w:insideV w:val="single" w:sz="2" w:space="0" w:color="D8DCE8"/>
        </w:tblBorders>
        <w:tblCellMar>
          <w:left w:w="10" w:type="dxa"/>
          <w:right w:w="10" w:type="dxa"/>
        </w:tblCellMar>
        <w:tblLook w:val="0000" w:firstRow="0" w:lastRow="0" w:firstColumn="0" w:lastColumn="0" w:noHBand="0" w:noVBand="0"/>
      </w:tblPr>
      <w:tblGrid>
        <w:gridCol w:w="2400"/>
        <w:gridCol w:w="3480"/>
        <w:gridCol w:w="3480"/>
      </w:tblGrid>
      <w:tr w:rsidR="007F2244" w14:paraId="2EEA2AAF" w14:textId="77777777">
        <w:tblPrEx>
          <w:tblCellMar>
            <w:top w:w="0" w:type="dxa"/>
            <w:bottom w:w="0" w:type="dxa"/>
          </w:tblCellMar>
        </w:tblPrEx>
        <w:trPr>
          <w:tblHeader/>
        </w:trPr>
        <w:tc>
          <w:tcPr>
            <w:tcW w:w="2400" w:type="dxa"/>
            <w:shd w:val="clear" w:color="auto" w:fill="1C0087"/>
            <w:tcMar>
              <w:top w:w="70" w:type="dxa"/>
              <w:left w:w="110" w:type="dxa"/>
              <w:bottom w:w="70" w:type="dxa"/>
              <w:right w:w="110" w:type="dxa"/>
            </w:tcMar>
          </w:tcPr>
          <w:p w14:paraId="073B80BF" w14:textId="77777777" w:rsidR="007F2244" w:rsidRDefault="00000000">
            <w:pPr>
              <w:spacing w:line="264" w:lineRule="auto"/>
            </w:pPr>
            <w:r>
              <w:rPr>
                <w:b/>
                <w:bCs/>
                <w:color w:val="FFFFFF"/>
                <w:sz w:val="18"/>
                <w:szCs w:val="18"/>
              </w:rPr>
              <w:t>Dimension</w:t>
            </w:r>
          </w:p>
        </w:tc>
        <w:tc>
          <w:tcPr>
            <w:tcW w:w="3480" w:type="dxa"/>
            <w:shd w:val="clear" w:color="auto" w:fill="1C0087"/>
            <w:tcMar>
              <w:top w:w="70" w:type="dxa"/>
              <w:left w:w="110" w:type="dxa"/>
              <w:bottom w:w="70" w:type="dxa"/>
              <w:right w:w="110" w:type="dxa"/>
            </w:tcMar>
          </w:tcPr>
          <w:p w14:paraId="10C6C2E8" w14:textId="77777777" w:rsidR="007F2244" w:rsidRDefault="00000000">
            <w:pPr>
              <w:spacing w:line="264" w:lineRule="auto"/>
            </w:pPr>
            <w:r>
              <w:rPr>
                <w:b/>
                <w:bCs/>
                <w:color w:val="FFFFFF"/>
                <w:sz w:val="18"/>
                <w:szCs w:val="18"/>
              </w:rPr>
              <w:t>Current (narrator)</w:t>
            </w:r>
          </w:p>
        </w:tc>
        <w:tc>
          <w:tcPr>
            <w:tcW w:w="3480" w:type="dxa"/>
            <w:shd w:val="clear" w:color="auto" w:fill="1C0087"/>
            <w:tcMar>
              <w:top w:w="70" w:type="dxa"/>
              <w:left w:w="110" w:type="dxa"/>
              <w:bottom w:w="70" w:type="dxa"/>
              <w:right w:w="110" w:type="dxa"/>
            </w:tcMar>
          </w:tcPr>
          <w:p w14:paraId="342FF581" w14:textId="77777777" w:rsidR="007F2244" w:rsidRDefault="00000000">
            <w:pPr>
              <w:spacing w:line="264" w:lineRule="auto"/>
            </w:pPr>
            <w:r>
              <w:rPr>
                <w:b/>
                <w:bCs/>
                <w:color w:val="FFFFFF"/>
                <w:sz w:val="18"/>
                <w:szCs w:val="18"/>
              </w:rPr>
              <w:t>Agentic (analyst)</w:t>
            </w:r>
          </w:p>
        </w:tc>
      </w:tr>
      <w:tr w:rsidR="007F2244" w14:paraId="1B1E4EEE"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687446BA" w14:textId="77777777" w:rsidR="007F2244" w:rsidRDefault="00000000">
            <w:pPr>
              <w:spacing w:line="264" w:lineRule="auto"/>
            </w:pPr>
            <w:r>
              <w:rPr>
                <w:sz w:val="18"/>
                <w:szCs w:val="18"/>
              </w:rPr>
              <w:t>Data access</w:t>
            </w:r>
          </w:p>
        </w:tc>
        <w:tc>
          <w:tcPr>
            <w:tcW w:w="3480" w:type="dxa"/>
            <w:shd w:val="clear" w:color="auto" w:fill="FFFFFF"/>
            <w:tcMar>
              <w:top w:w="70" w:type="dxa"/>
              <w:left w:w="110" w:type="dxa"/>
              <w:bottom w:w="70" w:type="dxa"/>
              <w:right w:w="110" w:type="dxa"/>
            </w:tcMar>
          </w:tcPr>
          <w:p w14:paraId="4FCA2E87" w14:textId="77777777" w:rsidR="007F2244" w:rsidRDefault="00000000">
            <w:pPr>
              <w:spacing w:line="264" w:lineRule="auto"/>
            </w:pPr>
            <w:r>
              <w:rPr>
                <w:sz w:val="18"/>
                <w:szCs w:val="18"/>
              </w:rPr>
              <w:t>None — sees a fixed packet</w:t>
            </w:r>
          </w:p>
        </w:tc>
        <w:tc>
          <w:tcPr>
            <w:tcW w:w="3480" w:type="dxa"/>
            <w:shd w:val="clear" w:color="auto" w:fill="FFFFFF"/>
            <w:tcMar>
              <w:top w:w="70" w:type="dxa"/>
              <w:left w:w="110" w:type="dxa"/>
              <w:bottom w:w="70" w:type="dxa"/>
              <w:right w:w="110" w:type="dxa"/>
            </w:tcMar>
          </w:tcPr>
          <w:p w14:paraId="1A67CC88" w14:textId="77777777" w:rsidR="007F2244" w:rsidRDefault="00000000">
            <w:pPr>
              <w:spacing w:line="264" w:lineRule="auto"/>
            </w:pPr>
            <w:r>
              <w:rPr>
                <w:sz w:val="18"/>
                <w:szCs w:val="18"/>
              </w:rPr>
              <w:t>Through verified tool doors (measurements + raw rows)</w:t>
            </w:r>
          </w:p>
        </w:tc>
      </w:tr>
      <w:tr w:rsidR="007F2244" w14:paraId="08DC3FEB" w14:textId="77777777">
        <w:tblPrEx>
          <w:tblCellMar>
            <w:top w:w="0" w:type="dxa"/>
            <w:bottom w:w="0" w:type="dxa"/>
          </w:tblCellMar>
        </w:tblPrEx>
        <w:tc>
          <w:tcPr>
            <w:tcW w:w="2400" w:type="dxa"/>
            <w:shd w:val="clear" w:color="auto" w:fill="F4F6FB"/>
            <w:tcMar>
              <w:top w:w="70" w:type="dxa"/>
              <w:left w:w="110" w:type="dxa"/>
              <w:bottom w:w="70" w:type="dxa"/>
              <w:right w:w="110" w:type="dxa"/>
            </w:tcMar>
          </w:tcPr>
          <w:p w14:paraId="74C6CBE9" w14:textId="77777777" w:rsidR="007F2244" w:rsidRDefault="00000000">
            <w:pPr>
              <w:spacing w:line="264" w:lineRule="auto"/>
            </w:pPr>
            <w:r>
              <w:rPr>
                <w:sz w:val="18"/>
                <w:szCs w:val="18"/>
              </w:rPr>
              <w:t>How claims are made</w:t>
            </w:r>
          </w:p>
        </w:tc>
        <w:tc>
          <w:tcPr>
            <w:tcW w:w="3480" w:type="dxa"/>
            <w:shd w:val="clear" w:color="auto" w:fill="F4F6FB"/>
            <w:tcMar>
              <w:top w:w="70" w:type="dxa"/>
              <w:left w:w="110" w:type="dxa"/>
              <w:bottom w:w="70" w:type="dxa"/>
              <w:right w:w="110" w:type="dxa"/>
            </w:tcMar>
          </w:tcPr>
          <w:p w14:paraId="0989A67B" w14:textId="77777777" w:rsidR="007F2244" w:rsidRDefault="00000000">
            <w:pPr>
              <w:spacing w:line="264" w:lineRule="auto"/>
            </w:pPr>
            <w:r>
              <w:rPr>
                <w:sz w:val="18"/>
                <w:szCs w:val="18"/>
              </w:rPr>
              <w:t>Narrates whatever's handed</w:t>
            </w:r>
          </w:p>
        </w:tc>
        <w:tc>
          <w:tcPr>
            <w:tcW w:w="3480" w:type="dxa"/>
            <w:shd w:val="clear" w:color="auto" w:fill="F4F6FB"/>
            <w:tcMar>
              <w:top w:w="70" w:type="dxa"/>
              <w:left w:w="110" w:type="dxa"/>
              <w:bottom w:w="70" w:type="dxa"/>
              <w:right w:w="110" w:type="dxa"/>
            </w:tcMar>
          </w:tcPr>
          <w:p w14:paraId="00C4617A" w14:textId="77777777" w:rsidR="007F2244" w:rsidRDefault="00000000">
            <w:pPr>
              <w:spacing w:line="264" w:lineRule="auto"/>
            </w:pPr>
            <w:r>
              <w:rPr>
                <w:sz w:val="18"/>
                <w:szCs w:val="18"/>
              </w:rPr>
              <w:t>Proves each claim with a tool result</w:t>
            </w:r>
          </w:p>
        </w:tc>
      </w:tr>
      <w:tr w:rsidR="007F2244" w14:paraId="2B612B85"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048CCF80" w14:textId="77777777" w:rsidR="007F2244" w:rsidRDefault="00000000">
            <w:pPr>
              <w:spacing w:line="264" w:lineRule="auto"/>
            </w:pPr>
            <w:r>
              <w:rPr>
                <w:sz w:val="18"/>
                <w:szCs w:val="18"/>
              </w:rPr>
              <w:t>Investigation path</w:t>
            </w:r>
          </w:p>
        </w:tc>
        <w:tc>
          <w:tcPr>
            <w:tcW w:w="3480" w:type="dxa"/>
            <w:shd w:val="clear" w:color="auto" w:fill="FFFFFF"/>
            <w:tcMar>
              <w:top w:w="70" w:type="dxa"/>
              <w:left w:w="110" w:type="dxa"/>
              <w:bottom w:w="70" w:type="dxa"/>
              <w:right w:w="110" w:type="dxa"/>
            </w:tcMar>
          </w:tcPr>
          <w:p w14:paraId="29011829" w14:textId="77777777" w:rsidR="007F2244" w:rsidRDefault="00000000">
            <w:pPr>
              <w:spacing w:line="264" w:lineRule="auto"/>
            </w:pPr>
            <w:r>
              <w:rPr>
                <w:sz w:val="18"/>
                <w:szCs w:val="18"/>
              </w:rPr>
              <w:t>One pass, fixed</w:t>
            </w:r>
          </w:p>
        </w:tc>
        <w:tc>
          <w:tcPr>
            <w:tcW w:w="3480" w:type="dxa"/>
            <w:shd w:val="clear" w:color="auto" w:fill="FFFFFF"/>
            <w:tcMar>
              <w:top w:w="70" w:type="dxa"/>
              <w:left w:w="110" w:type="dxa"/>
              <w:bottom w:w="70" w:type="dxa"/>
              <w:right w:w="110" w:type="dxa"/>
            </w:tcMar>
          </w:tcPr>
          <w:p w14:paraId="2A08B6FF" w14:textId="77777777" w:rsidR="007F2244" w:rsidRDefault="00000000">
            <w:pPr>
              <w:spacing w:line="264" w:lineRule="auto"/>
            </w:pPr>
            <w:r>
              <w:rPr>
                <w:sz w:val="18"/>
                <w:szCs w:val="18"/>
              </w:rPr>
              <w:t>Chosen per store; loops until confident</w:t>
            </w:r>
          </w:p>
        </w:tc>
      </w:tr>
      <w:tr w:rsidR="007F2244" w14:paraId="1ACBAB4B" w14:textId="77777777">
        <w:tblPrEx>
          <w:tblCellMar>
            <w:top w:w="0" w:type="dxa"/>
            <w:bottom w:w="0" w:type="dxa"/>
          </w:tblCellMar>
        </w:tblPrEx>
        <w:tc>
          <w:tcPr>
            <w:tcW w:w="2400" w:type="dxa"/>
            <w:shd w:val="clear" w:color="auto" w:fill="F4F6FB"/>
            <w:tcMar>
              <w:top w:w="70" w:type="dxa"/>
              <w:left w:w="110" w:type="dxa"/>
              <w:bottom w:w="70" w:type="dxa"/>
              <w:right w:w="110" w:type="dxa"/>
            </w:tcMar>
          </w:tcPr>
          <w:p w14:paraId="49CF451A" w14:textId="77777777" w:rsidR="007F2244" w:rsidRDefault="00000000">
            <w:pPr>
              <w:spacing w:line="264" w:lineRule="auto"/>
            </w:pPr>
            <w:r>
              <w:rPr>
                <w:sz w:val="18"/>
                <w:szCs w:val="18"/>
              </w:rPr>
              <w:t>Distortion risk</w:t>
            </w:r>
          </w:p>
        </w:tc>
        <w:tc>
          <w:tcPr>
            <w:tcW w:w="3480" w:type="dxa"/>
            <w:shd w:val="clear" w:color="auto" w:fill="F4F6FB"/>
            <w:tcMar>
              <w:top w:w="70" w:type="dxa"/>
              <w:left w:w="110" w:type="dxa"/>
              <w:bottom w:w="70" w:type="dxa"/>
              <w:right w:w="110" w:type="dxa"/>
            </w:tcMar>
          </w:tcPr>
          <w:p w14:paraId="2F9AC5FC" w14:textId="77777777" w:rsidR="007F2244" w:rsidRDefault="00000000">
            <w:pPr>
              <w:spacing w:line="264" w:lineRule="auto"/>
            </w:pPr>
            <w:r>
              <w:rPr>
                <w:sz w:val="18"/>
                <w:szCs w:val="18"/>
              </w:rPr>
              <w:t>“89% below,” phantom causes, “may…”</w:t>
            </w:r>
          </w:p>
        </w:tc>
        <w:tc>
          <w:tcPr>
            <w:tcW w:w="3480" w:type="dxa"/>
            <w:shd w:val="clear" w:color="auto" w:fill="F4F6FB"/>
            <w:tcMar>
              <w:top w:w="70" w:type="dxa"/>
              <w:left w:w="110" w:type="dxa"/>
              <w:bottom w:w="70" w:type="dxa"/>
              <w:right w:w="110" w:type="dxa"/>
            </w:tcMar>
          </w:tcPr>
          <w:p w14:paraId="5FAA13EF" w14:textId="77777777" w:rsidR="007F2244" w:rsidRDefault="00000000">
            <w:pPr>
              <w:spacing w:line="264" w:lineRule="auto"/>
            </w:pPr>
            <w:r>
              <w:rPr>
                <w:sz w:val="18"/>
                <w:szCs w:val="18"/>
              </w:rPr>
              <w:t>Point moves; no un-checked claims; no “may”</w:t>
            </w:r>
          </w:p>
        </w:tc>
      </w:tr>
      <w:tr w:rsidR="007F2244" w14:paraId="3D4158D5"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12770C34" w14:textId="77777777" w:rsidR="007F2244" w:rsidRDefault="00000000">
            <w:pPr>
              <w:spacing w:line="264" w:lineRule="auto"/>
            </w:pPr>
            <w:r>
              <w:rPr>
                <w:sz w:val="18"/>
                <w:szCs w:val="18"/>
              </w:rPr>
              <w:t>Correlation</w:t>
            </w:r>
          </w:p>
        </w:tc>
        <w:tc>
          <w:tcPr>
            <w:tcW w:w="3480" w:type="dxa"/>
            <w:shd w:val="clear" w:color="auto" w:fill="FFFFFF"/>
            <w:tcMar>
              <w:top w:w="70" w:type="dxa"/>
              <w:left w:w="110" w:type="dxa"/>
              <w:bottom w:w="70" w:type="dxa"/>
              <w:right w:w="110" w:type="dxa"/>
            </w:tcMar>
          </w:tcPr>
          <w:p w14:paraId="7C1BE3F4" w14:textId="77777777" w:rsidR="007F2244" w:rsidRDefault="00000000">
            <w:pPr>
              <w:spacing w:line="264" w:lineRule="auto"/>
            </w:pPr>
            <w:r>
              <w:rPr>
                <w:sz w:val="18"/>
                <w:szCs w:val="18"/>
              </w:rPr>
              <w:t>Co-flagging by hierarchy</w:t>
            </w:r>
          </w:p>
        </w:tc>
        <w:tc>
          <w:tcPr>
            <w:tcW w:w="3480" w:type="dxa"/>
            <w:shd w:val="clear" w:color="auto" w:fill="FFFFFF"/>
            <w:tcMar>
              <w:top w:w="70" w:type="dxa"/>
              <w:left w:w="110" w:type="dxa"/>
              <w:bottom w:w="70" w:type="dxa"/>
              <w:right w:w="110" w:type="dxa"/>
            </w:tcMar>
          </w:tcPr>
          <w:p w14:paraId="55050944" w14:textId="77777777" w:rsidR="007F2244" w:rsidRDefault="00000000">
            <w:pPr>
              <w:spacing w:line="264" w:lineRule="auto"/>
            </w:pPr>
            <w:proofErr w:type="gramStart"/>
            <w:r>
              <w:rPr>
                <w:sz w:val="18"/>
                <w:szCs w:val="18"/>
              </w:rPr>
              <w:t>Shared-cause</w:t>
            </w:r>
            <w:proofErr w:type="gramEnd"/>
            <w:r>
              <w:rPr>
                <w:sz w:val="18"/>
                <w:szCs w:val="18"/>
              </w:rPr>
              <w:t>, rolled up to one insight</w:t>
            </w:r>
          </w:p>
        </w:tc>
      </w:tr>
      <w:tr w:rsidR="007F2244" w14:paraId="5E6F7DEF" w14:textId="77777777">
        <w:tblPrEx>
          <w:tblCellMar>
            <w:top w:w="0" w:type="dxa"/>
            <w:bottom w:w="0" w:type="dxa"/>
          </w:tblCellMar>
        </w:tblPrEx>
        <w:tc>
          <w:tcPr>
            <w:tcW w:w="2400" w:type="dxa"/>
            <w:shd w:val="clear" w:color="auto" w:fill="F4F6FB"/>
            <w:tcMar>
              <w:top w:w="70" w:type="dxa"/>
              <w:left w:w="110" w:type="dxa"/>
              <w:bottom w:w="70" w:type="dxa"/>
              <w:right w:w="110" w:type="dxa"/>
            </w:tcMar>
          </w:tcPr>
          <w:p w14:paraId="0EF9C923" w14:textId="77777777" w:rsidR="007F2244" w:rsidRDefault="00000000">
            <w:pPr>
              <w:spacing w:line="264" w:lineRule="auto"/>
            </w:pPr>
            <w:r>
              <w:rPr>
                <w:sz w:val="18"/>
                <w:szCs w:val="18"/>
              </w:rPr>
              <w:t>Routing / alerts</w:t>
            </w:r>
          </w:p>
        </w:tc>
        <w:tc>
          <w:tcPr>
            <w:tcW w:w="3480" w:type="dxa"/>
            <w:shd w:val="clear" w:color="auto" w:fill="F4F6FB"/>
            <w:tcMar>
              <w:top w:w="70" w:type="dxa"/>
              <w:left w:w="110" w:type="dxa"/>
              <w:bottom w:w="70" w:type="dxa"/>
              <w:right w:w="110" w:type="dxa"/>
            </w:tcMar>
          </w:tcPr>
          <w:p w14:paraId="1FA5EA74" w14:textId="77777777" w:rsidR="007F2244" w:rsidRDefault="00000000">
            <w:pPr>
              <w:spacing w:line="264" w:lineRule="auto"/>
            </w:pPr>
            <w:r>
              <w:rPr>
                <w:sz w:val="18"/>
                <w:szCs w:val="18"/>
              </w:rPr>
              <w:t>Flat; one alert per insight</w:t>
            </w:r>
          </w:p>
        </w:tc>
        <w:tc>
          <w:tcPr>
            <w:tcW w:w="3480" w:type="dxa"/>
            <w:shd w:val="clear" w:color="auto" w:fill="F4F6FB"/>
            <w:tcMar>
              <w:top w:w="70" w:type="dxa"/>
              <w:left w:w="110" w:type="dxa"/>
              <w:bottom w:w="70" w:type="dxa"/>
              <w:right w:w="110" w:type="dxa"/>
            </w:tcMar>
          </w:tcPr>
          <w:p w14:paraId="3B203A75" w14:textId="77777777" w:rsidR="007F2244" w:rsidRDefault="00000000">
            <w:pPr>
              <w:spacing w:line="264" w:lineRule="auto"/>
            </w:pPr>
            <w:r>
              <w:rPr>
                <w:sz w:val="18"/>
                <w:szCs w:val="18"/>
              </w:rPr>
              <w:t>Cause/level-aware; rolled-up, actionable</w:t>
            </w:r>
          </w:p>
        </w:tc>
      </w:tr>
      <w:tr w:rsidR="007F2244" w14:paraId="589041B8"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763F1515" w14:textId="77777777" w:rsidR="007F2244" w:rsidRDefault="00000000">
            <w:pPr>
              <w:spacing w:line="264" w:lineRule="auto"/>
            </w:pPr>
            <w:r>
              <w:rPr>
                <w:sz w:val="18"/>
                <w:szCs w:val="18"/>
              </w:rPr>
              <w:t>Trust</w:t>
            </w:r>
          </w:p>
        </w:tc>
        <w:tc>
          <w:tcPr>
            <w:tcW w:w="3480" w:type="dxa"/>
            <w:shd w:val="clear" w:color="auto" w:fill="FFFFFF"/>
            <w:tcMar>
              <w:top w:w="70" w:type="dxa"/>
              <w:left w:w="110" w:type="dxa"/>
              <w:bottom w:w="70" w:type="dxa"/>
              <w:right w:w="110" w:type="dxa"/>
            </w:tcMar>
          </w:tcPr>
          <w:p w14:paraId="6D18CFF8" w14:textId="77777777" w:rsidR="007F2244" w:rsidRDefault="00000000">
            <w:pPr>
              <w:spacing w:line="264" w:lineRule="auto"/>
            </w:pPr>
            <w:r>
              <w:rPr>
                <w:sz w:val="18"/>
                <w:szCs w:val="18"/>
              </w:rPr>
              <w:t>Confident essay</w:t>
            </w:r>
          </w:p>
        </w:tc>
        <w:tc>
          <w:tcPr>
            <w:tcW w:w="3480" w:type="dxa"/>
            <w:shd w:val="clear" w:color="auto" w:fill="FFFFFF"/>
            <w:tcMar>
              <w:top w:w="70" w:type="dxa"/>
              <w:left w:w="110" w:type="dxa"/>
              <w:bottom w:w="70" w:type="dxa"/>
              <w:right w:w="110" w:type="dxa"/>
            </w:tcMar>
          </w:tcPr>
          <w:p w14:paraId="6BEF5B58" w14:textId="77777777" w:rsidR="007F2244" w:rsidRDefault="00000000">
            <w:pPr>
              <w:spacing w:line="264" w:lineRule="auto"/>
            </w:pPr>
            <w:r>
              <w:rPr>
                <w:sz w:val="18"/>
                <w:szCs w:val="18"/>
              </w:rPr>
              <w:t>Evidence file — auditable, reproducible</w:t>
            </w:r>
          </w:p>
        </w:tc>
      </w:tr>
    </w:tbl>
    <w:p w14:paraId="31360856" w14:textId="77777777" w:rsidR="007F2244" w:rsidRDefault="007F2244">
      <w:pPr>
        <w:spacing w:after="120"/>
      </w:pPr>
    </w:p>
    <w:p w14:paraId="00EA9294" w14:textId="77777777" w:rsidR="007F2244" w:rsidRDefault="00000000">
      <w:pPr>
        <w:spacing w:after="120" w:line="276" w:lineRule="auto"/>
      </w:pPr>
      <w:r>
        <w:rPr>
          <w:b/>
          <w:bCs/>
        </w:rPr>
        <w:t xml:space="preserve">Bottom line: </w:t>
      </w:r>
      <w:r>
        <w:rPr>
          <w:i/>
          <w:iCs/>
        </w:rPr>
        <w:t>the agent makes PRISM an actual analyst instead of a narrator — the deck's promise (“the data decides, every number checked”) becomes literally true, with each claim earned rather than asserted.</w:t>
      </w:r>
    </w:p>
    <w:sectPr w:rsidR="007F2244">
      <w:footerReference w:type="even" r:id="rId12"/>
      <w:footerReference w:type="defaul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A281" w14:textId="77777777" w:rsidR="002C5210" w:rsidRDefault="002C5210">
      <w:r>
        <w:separator/>
      </w:r>
    </w:p>
  </w:endnote>
  <w:endnote w:type="continuationSeparator" w:id="0">
    <w:p w14:paraId="1F9D01DD" w14:textId="77777777" w:rsidR="002C5210" w:rsidRDefault="002C5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FEC9" w14:textId="3B21E48D" w:rsidR="006462B3" w:rsidRDefault="006462B3">
    <w:pPr>
      <w:pStyle w:val="Footer"/>
    </w:pPr>
    <w:r>
      <w:rPr>
        <w:noProof/>
      </w:rPr>
      <mc:AlternateContent>
        <mc:Choice Requires="wps">
          <w:drawing>
            <wp:anchor distT="0" distB="0" distL="0" distR="0" simplePos="0" relativeHeight="251659264" behindDoc="0" locked="0" layoutInCell="1" allowOverlap="1" wp14:anchorId="1E49C3E6" wp14:editId="69129A8F">
              <wp:simplePos x="635" y="635"/>
              <wp:positionH relativeFrom="page">
                <wp:align>center</wp:align>
              </wp:positionH>
              <wp:positionV relativeFrom="page">
                <wp:align>bottom</wp:align>
              </wp:positionV>
              <wp:extent cx="421005" cy="345440"/>
              <wp:effectExtent l="0" t="0" r="17145" b="0"/>
              <wp:wrapNone/>
              <wp:docPr id="395455713"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162818B4" w14:textId="1B4870C8" w:rsidR="006462B3" w:rsidRPr="006462B3" w:rsidRDefault="006462B3" w:rsidP="006462B3">
                          <w:pPr>
                            <w:rPr>
                              <w:rFonts w:ascii="Aptos" w:eastAsia="Aptos" w:hAnsi="Aptos" w:cs="Aptos"/>
                              <w:noProof/>
                              <w:color w:val="0000FF"/>
                              <w:sz w:val="20"/>
                              <w:szCs w:val="20"/>
                            </w:rPr>
                          </w:pPr>
                          <w:r w:rsidRPr="006462B3">
                            <w:rPr>
                              <w:rFonts w:ascii="Aptos" w:eastAsia="Aptos" w:hAnsi="Aptos" w:cs="Aptos"/>
                              <w:noProof/>
                              <w:color w:val="0000F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49C3E6" id="_x0000_t202" coordsize="21600,21600" o:spt="202" path="m,l,21600r21600,l21600,xe">
              <v:stroke joinstyle="miter"/>
              <v:path gradientshapeok="t" o:connecttype="rect"/>
            </v:shapetype>
            <v:shape id="Text Box 2" o:spid="_x0000_s1026" type="#_x0000_t202" alt="PUBLIC" style="position:absolute;margin-left:0;margin-top:0;width:33.1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" filled="f" stroked="f">
              <v:fill o:detectmouseclick="t"/>
              <v:textbox style="mso-fit-shape-to-text:t" inset="0,0,0,15pt">
                <w:txbxContent>
                  <w:p w14:paraId="162818B4" w14:textId="1B4870C8" w:rsidR="006462B3" w:rsidRPr="006462B3" w:rsidRDefault="006462B3" w:rsidP="006462B3">
                    <w:pPr>
                      <w:rPr>
                        <w:rFonts w:ascii="Aptos" w:eastAsia="Aptos" w:hAnsi="Aptos" w:cs="Aptos"/>
                        <w:noProof/>
                        <w:color w:val="0000FF"/>
                        <w:sz w:val="20"/>
                        <w:szCs w:val="20"/>
                      </w:rPr>
                    </w:pPr>
                    <w:r w:rsidRPr="006462B3">
                      <w:rPr>
                        <w:rFonts w:ascii="Aptos" w:eastAsia="Aptos" w:hAnsi="Aptos" w:cs="Aptos"/>
                        <w:noProof/>
                        <w:color w:val="0000FF"/>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29D93" w14:textId="2ED4A7CA" w:rsidR="007F2244" w:rsidRDefault="006462B3">
    <w:pPr>
      <w:jc w:val="center"/>
    </w:pPr>
    <w:r>
      <w:rPr>
        <w:noProof/>
        <w:color w:val="44444F"/>
        <w:sz w:val="16"/>
        <w:szCs w:val="16"/>
      </w:rPr>
      <mc:AlternateContent>
        <mc:Choice Requires="wps">
          <w:drawing>
            <wp:anchor distT="0" distB="0" distL="0" distR="0" simplePos="0" relativeHeight="251660288" behindDoc="0" locked="0" layoutInCell="1" allowOverlap="1" wp14:anchorId="2F35B4DE" wp14:editId="7468302A">
              <wp:simplePos x="914400" y="9485453"/>
              <wp:positionH relativeFrom="page">
                <wp:align>center</wp:align>
              </wp:positionH>
              <wp:positionV relativeFrom="page">
                <wp:align>bottom</wp:align>
              </wp:positionV>
              <wp:extent cx="421005" cy="345440"/>
              <wp:effectExtent l="0" t="0" r="17145" b="0"/>
              <wp:wrapNone/>
              <wp:docPr id="169481412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753C6CEC" w14:textId="2A2B9212" w:rsidR="006462B3" w:rsidRPr="006462B3" w:rsidRDefault="006462B3" w:rsidP="006462B3">
                          <w:pPr>
                            <w:rPr>
                              <w:rFonts w:ascii="Aptos" w:eastAsia="Aptos" w:hAnsi="Aptos" w:cs="Aptos"/>
                              <w:noProof/>
                              <w:color w:val="0000FF"/>
                              <w:sz w:val="20"/>
                              <w:szCs w:val="20"/>
                            </w:rPr>
                          </w:pPr>
                          <w:r w:rsidRPr="006462B3">
                            <w:rPr>
                              <w:rFonts w:ascii="Aptos" w:eastAsia="Aptos" w:hAnsi="Aptos" w:cs="Aptos"/>
                              <w:noProof/>
                              <w:color w:val="0000F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35B4DE" id="_x0000_t202" coordsize="21600,21600" o:spt="202" path="m,l,21600r21600,l21600,xe">
              <v:stroke joinstyle="miter"/>
              <v:path gradientshapeok="t" o:connecttype="rect"/>
            </v:shapetype>
            <v:shape id="Text Box 3" o:spid="_x0000_s1027" type="#_x0000_t202" alt="PUBLIC" style="position:absolute;left:0;text-align:left;margin-left:0;margin-top:0;width:33.1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" filled="f" stroked="f">
              <v:fill o:detectmouseclick="t"/>
              <v:textbox style="mso-fit-shape-to-text:t" inset="0,0,0,15pt">
                <w:txbxContent>
                  <w:p w14:paraId="753C6CEC" w14:textId="2A2B9212" w:rsidR="006462B3" w:rsidRPr="006462B3" w:rsidRDefault="006462B3" w:rsidP="006462B3">
                    <w:pPr>
                      <w:rPr>
                        <w:rFonts w:ascii="Aptos" w:eastAsia="Aptos" w:hAnsi="Aptos" w:cs="Aptos"/>
                        <w:noProof/>
                        <w:color w:val="0000FF"/>
                        <w:sz w:val="20"/>
                        <w:szCs w:val="20"/>
                      </w:rPr>
                    </w:pPr>
                    <w:r w:rsidRPr="006462B3">
                      <w:rPr>
                        <w:rFonts w:ascii="Aptos" w:eastAsia="Aptos" w:hAnsi="Aptos" w:cs="Aptos"/>
                        <w:noProof/>
                        <w:color w:val="0000FF"/>
                        <w:sz w:val="20"/>
                        <w:szCs w:val="20"/>
                      </w:rPr>
                      <w:t>PUBLIC</w:t>
                    </w:r>
                  </w:p>
                </w:txbxContent>
              </v:textbox>
              <w10:wrap anchorx="page" anchory="page"/>
            </v:shape>
          </w:pict>
        </mc:Fallback>
      </mc:AlternateContent>
    </w:r>
    <w:r w:rsidR="00000000">
      <w:rPr>
        <w:color w:val="44444F"/>
        <w:sz w:val="16"/>
        <w:szCs w:val="16"/>
      </w:rPr>
      <w:t xml:space="preserve">PRISM — From Narrator to Analyst    ·    </w:t>
    </w:r>
    <w:r w:rsidR="00000000">
      <w:rPr>
        <w:color w:val="44444F"/>
        <w:sz w:val="16"/>
        <w:szCs w:val="16"/>
      </w:rPr>
      <w:fldChar w:fldCharType="begin"/>
    </w:r>
    <w:r w:rsidR="00000000">
      <w:rPr>
        <w:color w:val="44444F"/>
        <w:sz w:val="16"/>
        <w:szCs w:val="16"/>
      </w:rPr>
      <w:instrText>PAGE</w:instrText>
    </w:r>
    <w:r w:rsidR="00000000">
      <w:rPr>
        <w:color w:val="44444F"/>
        <w:sz w:val="16"/>
        <w:szCs w:val="16"/>
      </w:rPr>
      <w:fldChar w:fldCharType="separate"/>
    </w:r>
    <w:r>
      <w:rPr>
        <w:noProof/>
        <w:color w:val="44444F"/>
        <w:sz w:val="16"/>
        <w:szCs w:val="16"/>
      </w:rPr>
      <w:t>1</w:t>
    </w:r>
    <w:r w:rsidR="00000000">
      <w:rPr>
        <w:color w:val="44444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20A8" w14:textId="504EA9B4" w:rsidR="006462B3" w:rsidRDefault="006462B3">
    <w:pPr>
      <w:pStyle w:val="Footer"/>
    </w:pPr>
    <w:r>
      <w:rPr>
        <w:noProof/>
      </w:rPr>
      <mc:AlternateContent>
        <mc:Choice Requires="wps">
          <w:drawing>
            <wp:anchor distT="0" distB="0" distL="0" distR="0" simplePos="0" relativeHeight="251658240" behindDoc="0" locked="0" layoutInCell="1" allowOverlap="1" wp14:anchorId="74D140D8" wp14:editId="23493D8B">
              <wp:simplePos x="635" y="635"/>
              <wp:positionH relativeFrom="page">
                <wp:align>center</wp:align>
              </wp:positionH>
              <wp:positionV relativeFrom="page">
                <wp:align>bottom</wp:align>
              </wp:positionV>
              <wp:extent cx="421005" cy="345440"/>
              <wp:effectExtent l="0" t="0" r="17145" b="0"/>
              <wp:wrapNone/>
              <wp:docPr id="1124854289"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2A1D53F1" w14:textId="422A1D31" w:rsidR="006462B3" w:rsidRPr="006462B3" w:rsidRDefault="006462B3" w:rsidP="006462B3">
                          <w:pPr>
                            <w:rPr>
                              <w:rFonts w:ascii="Aptos" w:eastAsia="Aptos" w:hAnsi="Aptos" w:cs="Aptos"/>
                              <w:noProof/>
                              <w:color w:val="0000FF"/>
                              <w:sz w:val="20"/>
                              <w:szCs w:val="20"/>
                            </w:rPr>
                          </w:pPr>
                          <w:r w:rsidRPr="006462B3">
                            <w:rPr>
                              <w:rFonts w:ascii="Aptos" w:eastAsia="Aptos" w:hAnsi="Aptos" w:cs="Aptos"/>
                              <w:noProof/>
                              <w:color w:val="0000F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D140D8" id="_x0000_t202" coordsize="21600,21600" o:spt="202" path="m,l,21600r21600,l21600,xe">
              <v:stroke joinstyle="miter"/>
              <v:path gradientshapeok="t" o:connecttype="rect"/>
            </v:shapetype>
            <v:shape id="Text Box 1" o:spid="_x0000_s1028" type="#_x0000_t202" alt="PUBLIC" style="position:absolute;margin-left:0;margin-top:0;width:33.1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" filled="f" stroked="f">
              <v:fill o:detectmouseclick="t"/>
              <v:textbox style="mso-fit-shape-to-text:t" inset="0,0,0,15pt">
                <w:txbxContent>
                  <w:p w14:paraId="2A1D53F1" w14:textId="422A1D31" w:rsidR="006462B3" w:rsidRPr="006462B3" w:rsidRDefault="006462B3" w:rsidP="006462B3">
                    <w:pPr>
                      <w:rPr>
                        <w:rFonts w:ascii="Aptos" w:eastAsia="Aptos" w:hAnsi="Aptos" w:cs="Aptos"/>
                        <w:noProof/>
                        <w:color w:val="0000FF"/>
                        <w:sz w:val="20"/>
                        <w:szCs w:val="20"/>
                      </w:rPr>
                    </w:pPr>
                    <w:r w:rsidRPr="006462B3">
                      <w:rPr>
                        <w:rFonts w:ascii="Aptos" w:eastAsia="Aptos" w:hAnsi="Aptos" w:cs="Aptos"/>
                        <w:noProof/>
                        <w:color w:val="0000FF"/>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C47DB" w14:textId="77777777" w:rsidR="002C5210" w:rsidRDefault="002C5210">
      <w:r>
        <w:separator/>
      </w:r>
    </w:p>
  </w:footnote>
  <w:footnote w:type="continuationSeparator" w:id="0">
    <w:p w14:paraId="3128CA1D" w14:textId="77777777" w:rsidR="002C5210" w:rsidRDefault="002C5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2BD7"/>
    <w:multiLevelType w:val="hybridMultilevel"/>
    <w:tmpl w:val="03D66D1A"/>
    <w:lvl w:ilvl="0" w:tplc="03423CA4">
      <w:start w:val="1"/>
      <w:numFmt w:val="bullet"/>
      <w:lvlText w:val="•"/>
      <w:lvlJc w:val="left"/>
      <w:pPr>
        <w:ind w:left="360" w:hanging="220"/>
      </w:pPr>
      <w:rPr>
        <w:color w:val="0086EA"/>
      </w:rPr>
    </w:lvl>
    <w:lvl w:ilvl="1" w:tplc="DBDACB4A">
      <w:numFmt w:val="decimal"/>
      <w:lvlText w:val=""/>
      <w:lvlJc w:val="left"/>
    </w:lvl>
    <w:lvl w:ilvl="2" w:tplc="7CD20E60">
      <w:numFmt w:val="decimal"/>
      <w:lvlText w:val=""/>
      <w:lvlJc w:val="left"/>
    </w:lvl>
    <w:lvl w:ilvl="3" w:tplc="BC42D854">
      <w:numFmt w:val="decimal"/>
      <w:lvlText w:val=""/>
      <w:lvlJc w:val="left"/>
    </w:lvl>
    <w:lvl w:ilvl="4" w:tplc="BF689050">
      <w:numFmt w:val="decimal"/>
      <w:lvlText w:val=""/>
      <w:lvlJc w:val="left"/>
    </w:lvl>
    <w:lvl w:ilvl="5" w:tplc="F2A077A6">
      <w:numFmt w:val="decimal"/>
      <w:lvlText w:val=""/>
      <w:lvlJc w:val="left"/>
    </w:lvl>
    <w:lvl w:ilvl="6" w:tplc="B9D00E86">
      <w:numFmt w:val="decimal"/>
      <w:lvlText w:val=""/>
      <w:lvlJc w:val="left"/>
    </w:lvl>
    <w:lvl w:ilvl="7" w:tplc="AAD09E94">
      <w:numFmt w:val="decimal"/>
      <w:lvlText w:val=""/>
      <w:lvlJc w:val="left"/>
    </w:lvl>
    <w:lvl w:ilvl="8" w:tplc="2ED64184">
      <w:numFmt w:val="decimal"/>
      <w:lvlText w:val=""/>
      <w:lvlJc w:val="left"/>
    </w:lvl>
  </w:abstractNum>
  <w:abstractNum w:abstractNumId="1" w15:restartNumberingAfterBreak="0">
    <w:nsid w:val="254D2370"/>
    <w:multiLevelType w:val="hybridMultilevel"/>
    <w:tmpl w:val="516E6DA6"/>
    <w:lvl w:ilvl="0" w:tplc="0082FE26">
      <w:start w:val="1"/>
      <w:numFmt w:val="bullet"/>
      <w:lvlText w:val="●"/>
      <w:lvlJc w:val="left"/>
      <w:pPr>
        <w:ind w:left="720" w:hanging="360"/>
      </w:pPr>
    </w:lvl>
    <w:lvl w:ilvl="1" w:tplc="C3AC35EC">
      <w:start w:val="1"/>
      <w:numFmt w:val="bullet"/>
      <w:lvlText w:val="○"/>
      <w:lvlJc w:val="left"/>
      <w:pPr>
        <w:ind w:left="1440" w:hanging="360"/>
      </w:pPr>
    </w:lvl>
    <w:lvl w:ilvl="2" w:tplc="FB5206A8">
      <w:start w:val="1"/>
      <w:numFmt w:val="bullet"/>
      <w:lvlText w:val="■"/>
      <w:lvlJc w:val="left"/>
      <w:pPr>
        <w:ind w:left="2160" w:hanging="360"/>
      </w:pPr>
    </w:lvl>
    <w:lvl w:ilvl="3" w:tplc="B84CC9FC">
      <w:start w:val="1"/>
      <w:numFmt w:val="bullet"/>
      <w:lvlText w:val="●"/>
      <w:lvlJc w:val="left"/>
      <w:pPr>
        <w:ind w:left="2880" w:hanging="360"/>
      </w:pPr>
    </w:lvl>
    <w:lvl w:ilvl="4" w:tplc="487E5E36">
      <w:start w:val="1"/>
      <w:numFmt w:val="bullet"/>
      <w:lvlText w:val="○"/>
      <w:lvlJc w:val="left"/>
      <w:pPr>
        <w:ind w:left="3600" w:hanging="360"/>
      </w:pPr>
    </w:lvl>
    <w:lvl w:ilvl="5" w:tplc="BC6ABFB8">
      <w:start w:val="1"/>
      <w:numFmt w:val="bullet"/>
      <w:lvlText w:val="■"/>
      <w:lvlJc w:val="left"/>
      <w:pPr>
        <w:ind w:left="4320" w:hanging="360"/>
      </w:pPr>
    </w:lvl>
    <w:lvl w:ilvl="6" w:tplc="7CA2E81A">
      <w:start w:val="1"/>
      <w:numFmt w:val="bullet"/>
      <w:lvlText w:val="●"/>
      <w:lvlJc w:val="left"/>
      <w:pPr>
        <w:ind w:left="5040" w:hanging="360"/>
      </w:pPr>
    </w:lvl>
    <w:lvl w:ilvl="7" w:tplc="B1A0B3A6">
      <w:start w:val="1"/>
      <w:numFmt w:val="bullet"/>
      <w:lvlText w:val="●"/>
      <w:lvlJc w:val="left"/>
      <w:pPr>
        <w:ind w:left="5760" w:hanging="360"/>
      </w:pPr>
    </w:lvl>
    <w:lvl w:ilvl="8" w:tplc="76E230DA">
      <w:start w:val="1"/>
      <w:numFmt w:val="bullet"/>
      <w:lvlText w:val="●"/>
      <w:lvlJc w:val="left"/>
      <w:pPr>
        <w:ind w:left="6480" w:hanging="360"/>
      </w:pPr>
    </w:lvl>
  </w:abstractNum>
  <w:num w:numId="1" w16cid:durableId="724597666">
    <w:abstractNumId w:val="1"/>
    <w:lvlOverride w:ilvl="0">
      <w:startOverride w:val="1"/>
    </w:lvlOverride>
  </w:num>
  <w:num w:numId="2" w16cid:durableId="85732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244"/>
    <w:rsid w:val="002C5210"/>
    <w:rsid w:val="005C6DF9"/>
    <w:rsid w:val="006462B3"/>
    <w:rsid w:val="007F2244"/>
    <w:rsid w:val="00C228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F3BC"/>
  <w15:docId w15:val="{E9F28ECA-EA91-462B-A4D3-62DC7CE2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2"/>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C0087"/>
      <w:sz w:val="30"/>
      <w:szCs w:val="30"/>
    </w:rPr>
  </w:style>
  <w:style w:type="paragraph" w:styleId="Heading2">
    <w:name w:val="heading 2"/>
    <w:uiPriority w:val="9"/>
    <w:unhideWhenUsed/>
    <w:qFormat/>
    <w:pPr>
      <w:outlineLvl w:val="1"/>
    </w:pPr>
    <w:rPr>
      <w:b/>
      <w:bCs/>
      <w:color w:val="1C008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62B3"/>
    <w:pPr>
      <w:spacing w:after="100"/>
    </w:pPr>
    <w:rPr>
      <w:rFonts w:cs="Angsana New"/>
      <w:szCs w:val="26"/>
    </w:rPr>
  </w:style>
  <w:style w:type="paragraph" w:styleId="TOC2">
    <w:name w:val="toc 2"/>
    <w:basedOn w:val="Normal"/>
    <w:next w:val="Normal"/>
    <w:autoRedefine/>
    <w:uiPriority w:val="39"/>
    <w:unhideWhenUsed/>
    <w:rsid w:val="006462B3"/>
    <w:pPr>
      <w:spacing w:after="100"/>
      <w:ind w:left="210"/>
    </w:pPr>
    <w:rPr>
      <w:rFonts w:cs="Angsana New"/>
      <w:szCs w:val="26"/>
    </w:rPr>
  </w:style>
  <w:style w:type="paragraph" w:styleId="Footer">
    <w:name w:val="footer"/>
    <w:basedOn w:val="Normal"/>
    <w:link w:val="FooterChar"/>
    <w:uiPriority w:val="99"/>
    <w:unhideWhenUsed/>
    <w:rsid w:val="006462B3"/>
    <w:pPr>
      <w:tabs>
        <w:tab w:val="center" w:pos="4680"/>
        <w:tab w:val="right" w:pos="9360"/>
      </w:tabs>
    </w:pPr>
    <w:rPr>
      <w:rFonts w:cs="Angsana New"/>
      <w:szCs w:val="26"/>
    </w:rPr>
  </w:style>
  <w:style w:type="character" w:customStyle="1" w:styleId="FooterChar">
    <w:name w:val="Footer Char"/>
    <w:basedOn w:val="DefaultParagraphFont"/>
    <w:link w:val="Footer"/>
    <w:uiPriority w:val="99"/>
    <w:rsid w:val="006462B3"/>
    <w:rPr>
      <w:rFonts w:cs="Angsan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152f6a-2b78-4fa2-ae00-a99519405dce}" enabled="1" method="Privileged" siteId="{a2d8e6b4-e26e-4421-8f3d-ec288c827c7d}" contentBits="2" removed="0"/>
</clbl:labelList>
</file>

<file path=docProps/app.xml><?xml version="1.0" encoding="utf-8"?>
<Properties xmlns="http://schemas.openxmlformats.org/officeDocument/2006/extended-properties" xmlns:vt="http://schemas.openxmlformats.org/officeDocument/2006/docPropsVTypes">
  <Template>Normal</Template>
  <TotalTime>1347</TotalTime>
  <Pages>10</Pages>
  <Words>1950</Words>
  <Characters>11118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Aggarwal, Nimish</cp:lastModifiedBy>
  <cp:revision>2</cp:revision>
  <dcterms:created xsi:type="dcterms:W3CDTF">2026-07-16T06:04:00Z</dcterms:created>
  <dcterms:modified xsi:type="dcterms:W3CDTF">2026-07-17T19:06:00Z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430bea11,17922ce1,6504cfb0</vt:lpwstr>
  </property>
  <property fmtid="{D5CDD505-2E9C-101B-9397-08002B2CF9AE}" pid="3" name="ClassificationContentMarkingFooterFontProps">
    <vt:lpwstr>#0000ff,10,Aptos</vt:lpwstr>
  </property>
  <property fmtid="{D5CDD505-2E9C-101B-9397-08002B2CF9AE}" pid="4" name="ClassificationContentMarkingFooterText">
    <vt:lpwstr>PUBLIC</vt:lpwstr>
  </property>
</Properties>
</file>