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rFonts w:ascii="Calibri" w:cs="Calibri" w:eastAsia="Calibri" w:hAnsi="Calibri"/>
          <w:b/>
          <w:bCs/>
          <w:color w:val="1C0087"/>
          <w:sz w:val="64"/>
          <w:szCs w:val="64"/>
        </w:rPr>
        <w:t xml:space="preserve">PRISM</w:t>
      </w:r>
    </w:p>
    <w:p>
      <w:pPr>
        <w:spacing w:after="40"/>
      </w:pPr>
      <w:r>
        <w:rPr>
          <w:rFonts w:ascii="Calibri" w:cs="Calibri" w:eastAsia="Calibri" w:hAnsi="Calibri"/>
          <w:b/>
          <w:bCs/>
          <w:color w:val="0086EA"/>
          <w:sz w:val="38"/>
          <w:szCs w:val="38"/>
        </w:rPr>
        <w:t xml:space="preserve">v2 — Technical Reference</w:t>
      </w:r>
    </w:p>
    <w:p>
      <w:pPr>
        <w:spacing w:after="260"/>
      </w:pPr>
      <w:r>
        <w:rPr>
          <w:rFonts w:ascii="Calibri" w:cs="Calibri" w:eastAsia="Calibri" w:hAnsi="Calibri"/>
          <w:color w:val="44444F"/>
          <w:sz w:val="24"/>
          <w:szCs w:val="24"/>
        </w:rPr>
        <w:t xml:space="preserve">The agentic Jersey Mike's data assistant — how the whole tool works</w:t>
      </w:r>
    </w:p>
    <w:p>
      <w:pPr>
        <w:pBdr>
          <w:top w:val="single" w:color="A11B33" w:sz="12"/>
        </w:pBdr>
        <w:spacing w:after="200"/>
      </w:pPr>
      <w:r>
        <w:rPr>
          <w:rFonts w:ascii="Calibri" w:cs="Calibri" w:eastAsia="Calibri" w:hAnsi="Calibri"/>
          <w:color w:val="1A1A22"/>
          <w:sz w:val="21"/>
          <w:szCs w:val="21"/>
        </w:rPr>
        <w:t xml:space="preserve"/>
      </w:r>
    </w:p>
    <w:p>
      <w:pPr>
        <w:spacing w:after="240" w:before="0" w:line="276"/>
      </w:pPr>
      <w:r>
        <w:rPr>
          <w:rFonts w:ascii="Calibri" w:cs="Calibri" w:eastAsia="Calibri" w:hAnsi="Calibri"/>
          <w:color w:val="1A1A22"/>
          <w:sz w:val="22"/>
          <w:szCs w:val="22"/>
        </w:rPr>
        <w:t xml:space="preserve">A proactive engine that flags every store's issues, has an AI agent investigate the cause with validated tools, groups them into systemic patterns, and routes each to the right owner — the data decides, the agent explains, every number is checked.</w:t>
      </w:r>
    </w:p>
    <w:p>
      <w:pPr>
        <w:spacing w:after="120" w:before="0" w:line="276"/>
      </w:pPr>
      <w:r>
        <w:rPr>
          <w:rFonts w:ascii="Calibri" w:cs="Calibri" w:eastAsia="Calibri" w:hAnsi="Calibri"/>
          <w:b/>
          <w:bCs/>
          <w:color w:val="44444F"/>
          <w:sz w:val="20"/>
          <w:szCs w:val="20"/>
        </w:rPr>
        <w:t xml:space="preserve">Scope: </w:t>
      </w:r>
      <w:r>
        <w:rPr>
          <w:rFonts w:ascii="Calibri" w:cs="Calibri" w:eastAsia="Calibri" w:hAnsi="Calibri"/>
          <w:color w:val="44444F"/>
          <w:sz w:val="20"/>
          <w:szCs w:val="20"/>
        </w:rPr>
        <w:t xml:space="preserve">the current v2 system (reasoning.use_tools = true) — WWT / Jersey Mike's</w:t>
      </w:r>
    </w:p>
    <w:p>
      <w:r>
        <w:br w:type="page"/>
      </w:r>
    </w:p>
    <w:p>
      <w:pPr>
        <w:pStyle w:val="Heading1"/>
        <w:spacing w:after="130" w:before="300"/>
      </w:pPr>
      <w:r>
        <w:rPr>
          <w:rFonts w:ascii="Calibri" w:cs="Calibri" w:eastAsia="Calibri" w:hAnsi="Calibri"/>
          <w:b/>
          <w:bCs/>
          <w:color w:val="1C0087"/>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00"/>
      </w:pPr>
      <w:r>
        <w:rPr>
          <w:rFonts w:ascii="Calibri" w:cs="Calibri" w:eastAsia="Calibri" w:hAnsi="Calibri"/>
          <w:b/>
          <w:bCs/>
          <w:color w:val="1C0087"/>
          <w:sz w:val="28"/>
          <w:szCs w:val="28"/>
        </w:rPr>
        <w:t xml:space="preserve">1.  What PRISM v2 is</w:t>
      </w:r>
    </w:p>
    <w:p>
      <w:pPr>
        <w:spacing w:after="120" w:before="0" w:line="276"/>
      </w:pPr>
      <w:r>
        <w:rPr>
          <w:rFonts w:ascii="Calibri" w:cs="Calibri" w:eastAsia="Calibri" w:hAnsi="Calibri"/>
          <w:color w:val="1A1A22"/>
          <w:sz w:val="21"/>
          <w:szCs w:val="21"/>
        </w:rPr>
        <w:t xml:space="preserve">PRISM is the proactive half of the Jersey Mike's data assistant. Every week it reads all stores' balanced-scorecard metrics, finds the ones genuinely off, and — this is the v2 change — has an </w:t>
      </w:r>
      <w:r>
        <w:rPr>
          <w:rFonts w:ascii="Calibri" w:cs="Calibri" w:eastAsia="Calibri" w:hAnsi="Calibri"/>
          <w:b/>
          <w:bCs/>
          <w:color w:val="1A1A22"/>
          <w:sz w:val="21"/>
          <w:szCs w:val="21"/>
        </w:rPr>
        <w:t xml:space="preserve">AI agent investigate the cause</w:t>
      </w:r>
      <w:r>
        <w:rPr>
          <w:rFonts w:ascii="Calibri" w:cs="Calibri" w:eastAsia="Calibri" w:hAnsi="Calibri"/>
          <w:color w:val="1A1A22"/>
          <w:sz w:val="21"/>
          <w:szCs w:val="21"/>
        </w:rPr>
        <w:t xml:space="preserve"> by calling validated tools, rather than narrating a fixed summary. It then links related stores into systemic patterns and routes each issue to the responsible owner.</w:t>
      </w:r>
    </w:p>
    <w:p>
      <w:pPr>
        <w:spacing w:after="120" w:before="0" w:line="276"/>
      </w:pPr>
      <w:r>
        <w:rPr>
          <w:rFonts w:ascii="Calibri" w:cs="Calibri" w:eastAsia="Calibri" w:hAnsi="Calibri"/>
          <w:color w:val="1A1A22"/>
          <w:sz w:val="21"/>
          <w:szCs w:val="21"/>
        </w:rPr>
        <w:t xml:space="preserve">The shift from v1 to v2 is narrator → analyst:</w:t>
      </w:r>
    </w:p>
    <w:p>
      <w:pPr>
        <w:spacing w:after="50" w:before="12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19425"/>
                    </a:xfrm>
                    <a:prstGeom prst="rect">
                      <a:avLst/>
                    </a:prstGeom>
                  </pic:spPr>
                </pic:pic>
              </a:graphicData>
            </a:graphic>
          </wp:inline>
        </w:drawing>
      </w:r>
    </w:p>
    <w:p>
      <w:pPr>
        <w:spacing w:after="170"/>
        <w:jc w:val="center"/>
      </w:pPr>
      <w:r>
        <w:rPr>
          <w:rFonts w:ascii="Calibri" w:cs="Calibri" w:eastAsia="Calibri" w:hAnsi="Calibri"/>
          <w:i/>
          <w:iCs/>
          <w:color w:val="44444F"/>
          <w:sz w:val="17"/>
          <w:szCs w:val="17"/>
        </w:rPr>
        <w:t xml:space="preserve">Figure 1 — v1 narrated a fixed packet; v2 investigates with tools and proves each claim.</w:t>
      </w:r>
    </w:p>
    <w:tbl>
      <w:tblPr>
        <w:tblW w:type="dxa" w:w="9360"/>
        <w:tblBorders>
          <w:top w:val="single" w:color="1C0087" w:sz="4"/>
          <w:left w:val="single" w:color="1C0087" w:sz="26"/>
          <w:bottom w:val="single" w:color="1C0087" w:sz="4"/>
          <w:right w:val="single" w:color="1C0087" w:sz="4"/>
          <w:insideH w:val="single" w:color="auto" w:sz="4"/>
          <w:insideV w:val="single" w:color="auto" w:sz="4"/>
        </w:tblBorders>
      </w:tblPr>
      <w:tblGrid>
        <w:gridCol w:w="9360"/>
      </w:tblGrid>
      <w:tr>
        <w:tc>
          <w:tcPr>
            <w:tcW w:type="dxa" w:w="9360"/>
            <w:shd w:fill="E9F2FC" w:color="auto" w:val="clear"/>
            <w:tcMar>
              <w:top w:type="dxa" w:w="100"/>
              <w:left w:type="dxa" w:w="160"/>
              <w:bottom w:type="dxa" w:w="100"/>
              <w:right w:type="dxa" w:w="160"/>
            </w:tcMar>
          </w:tcPr>
          <w:p>
            <w:pPr>
              <w:spacing w:after="60"/>
            </w:pPr>
            <w:r>
              <w:rPr>
                <w:rFonts w:ascii="Calibri" w:cs="Calibri" w:eastAsia="Calibri" w:hAnsi="Calibri"/>
                <w:b/>
                <w:bCs/>
                <w:color w:val="1C0087"/>
                <w:sz w:val="21"/>
                <w:szCs w:val="21"/>
              </w:rPr>
              <w:t xml:space="preserve">The one-line difference</w:t>
            </w:r>
          </w:p>
          <w:p>
            <w:pPr>
              <w:spacing w:after="40" w:line="268"/>
            </w:pPr>
            <w:r>
              <w:rPr>
                <w:rFonts w:ascii="Calibri" w:cs="Calibri" w:eastAsia="Calibri" w:hAnsi="Calibri"/>
                <w:color w:val="1A1A22"/>
                <w:sz w:val="21"/>
                <w:szCs w:val="21"/>
              </w:rPr>
              <w:t xml:space="preserve">v1 asked the model </w:t>
            </w:r>
            <w:r>
              <w:rPr>
                <w:rFonts w:ascii="Calibri" w:cs="Calibri" w:eastAsia="Calibri" w:hAnsi="Calibri"/>
                <w:i/>
                <w:iCs/>
                <w:color w:val="A11B33"/>
                <w:sz w:val="21"/>
                <w:szCs w:val="21"/>
              </w:rPr>
              <w:t xml:space="preserve">“write a story that fits these numbers.”</w:t>
            </w:r>
            <w:r>
              <w:rPr>
                <w:rFonts w:ascii="Calibri" w:cs="Calibri" w:eastAsia="Calibri" w:hAnsi="Calibri"/>
                <w:color w:val="1A1A22"/>
                <w:sz w:val="21"/>
                <w:szCs w:val="21"/>
              </w:rPr>
              <w:t xml:space="preserve">  v2 asks </w:t>
            </w:r>
            <w:r>
              <w:rPr>
                <w:rFonts w:ascii="Calibri" w:cs="Calibri" w:eastAsia="Calibri" w:hAnsi="Calibri"/>
                <w:i/>
                <w:iCs/>
                <w:color w:val="1C0087"/>
                <w:sz w:val="21"/>
                <w:szCs w:val="21"/>
              </w:rPr>
              <w:t xml:space="preserve">“prove each thing you claim.”</w:t>
            </w:r>
          </w:p>
          <w:p>
            <w:pPr>
              <w:spacing w:after="40" w:line="268"/>
            </w:pPr>
            <w:r>
              <w:rPr>
                <w:rFonts w:ascii="Calibri" w:cs="Calibri" w:eastAsia="Calibri" w:hAnsi="Calibri"/>
                <w:b/>
                <w:bCs/>
                <w:color w:val="1A1A22"/>
                <w:sz w:val="21"/>
                <w:szCs w:val="21"/>
              </w:rPr>
              <w:t xml:space="preserve">The data still decides what's wrong; the agent explains why; every number it cites comes from a tool and is validated.</w:t>
            </w:r>
          </w:p>
        </w:tc>
      </w:tr>
    </w:tbl>
    <w:p>
      <w:pPr>
        <w:pStyle w:val="Heading1"/>
        <w:spacing w:after="130" w:before="300"/>
      </w:pPr>
      <w:r>
        <w:rPr>
          <w:rFonts w:ascii="Calibri" w:cs="Calibri" w:eastAsia="Calibri" w:hAnsi="Calibri"/>
          <w:b/>
          <w:bCs/>
          <w:color w:val="1C0087"/>
          <w:sz w:val="28"/>
          <w:szCs w:val="28"/>
        </w:rPr>
        <w:t xml:space="preserve">2.  Architecture — the pipeline</w:t>
      </w:r>
    </w:p>
    <w:p>
      <w:pPr>
        <w:spacing w:after="120" w:before="0" w:line="276"/>
      </w:pPr>
      <w:r>
        <w:rPr>
          <w:rFonts w:ascii="Calibri" w:cs="Calibri" w:eastAsia="Calibri" w:hAnsi="Calibri"/>
          <w:color w:val="1A1A22"/>
          <w:sz w:val="21"/>
          <w:szCs w:val="21"/>
        </w:rPr>
        <w:t xml:space="preserve">A run is a deterministic pipeline with the agent at exactly one step. Detection, enrichment, grounding, correlation, routing and persistence are all plain code; only the store diagnosis is agentic.</w:t>
      </w:r>
    </w:p>
    <w:p>
      <w:pPr>
        <w:spacing w:after="50" w:before="120"/>
        <w:jc w:val="center"/>
      </w:pPr>
      <w:r>
        <w:drawing>
          <wp:inline distT="0" distB="0" distL="0" distR="0">
            <wp:extent cx="35242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3819525"/>
                    </a:xfrm>
                    <a:prstGeom prst="rect">
                      <a:avLst/>
                    </a:prstGeom>
                  </pic:spPr>
                </pic:pic>
              </a:graphicData>
            </a:graphic>
          </wp:inline>
        </w:drawing>
      </w:r>
    </w:p>
    <w:p>
      <w:pPr>
        <w:spacing w:after="170"/>
        <w:jc w:val="center"/>
      </w:pPr>
      <w:r>
        <w:rPr>
          <w:rFonts w:ascii="Calibri" w:cs="Calibri" w:eastAsia="Calibri" w:hAnsi="Calibri"/>
          <w:i/>
          <w:iCs/>
          <w:color w:val="44444F"/>
          <w:sz w:val="17"/>
          <w:szCs w:val="17"/>
        </w:rPr>
        <w:t xml:space="preserve">Figure 2 — The six stages. Everything is deterministic except stage 3 (the agent).</w:t>
      </w:r>
    </w:p>
    <w:p>
      <w:pPr>
        <w:spacing w:after="120" w:before="0" w:line="276"/>
      </w:pPr>
      <w:r>
        <w:rPr>
          <w:rFonts w:ascii="Calibri" w:cs="Calibri" w:eastAsia="Calibri" w:hAnsi="Calibri"/>
          <w:color w:val="1A1A22"/>
          <w:sz w:val="21"/>
          <w:szCs w:val="21"/>
        </w:rPr>
        <w:t xml:space="preserve">All data access goes through one module (</w:t>
      </w:r>
      <w:r>
        <w:rPr>
          <w:rFonts w:ascii="Calibri" w:cs="Calibri" w:eastAsia="Calibri" w:hAnsi="Calibri"/>
          <w:color w:val="0C447C"/>
          <w:sz w:val="19"/>
          <w:szCs w:val="19"/>
        </w:rPr>
        <w:t xml:space="preserve">data_connector</w:t>
      </w:r>
      <w:r>
        <w:rPr>
          <w:rFonts w:ascii="Calibri" w:cs="Calibri" w:eastAsia="Calibri" w:hAnsi="Calibri"/>
          <w:color w:val="1A1A22"/>
          <w:sz w:val="21"/>
          <w:szCs w:val="21"/>
        </w:rPr>
        <w:t xml:space="preserve">) — the single point that repoints from local CSVs to Microsoft Fabric in production, with nothing else changing.</w:t>
      </w:r>
    </w:p>
    <w:p>
      <w:pPr>
        <w:pStyle w:val="Heading1"/>
        <w:spacing w:after="130" w:before="300"/>
      </w:pPr>
      <w:r>
        <w:rPr>
          <w:rFonts w:ascii="Calibri" w:cs="Calibri" w:eastAsia="Calibri" w:hAnsi="Calibri"/>
          <w:b/>
          <w:bCs/>
          <w:color w:val="1C0087"/>
          <w:sz w:val="28"/>
          <w:szCs w:val="28"/>
        </w:rPr>
        <w:t xml:space="preserve">3.  Detection — deterministic, recalibrated</w:t>
      </w:r>
    </w:p>
    <w:p>
      <w:pPr>
        <w:spacing w:after="120" w:before="0" w:line="276"/>
      </w:pPr>
      <w:r>
        <w:rPr>
          <w:rFonts w:ascii="Calibri" w:cs="Calibri" w:eastAsia="Calibri" w:hAnsi="Calibri"/>
          <w:color w:val="1A1A22"/>
          <w:sz w:val="21"/>
          <w:szCs w:val="21"/>
        </w:rPr>
        <w:t xml:space="preserve">Detection decides </w:t>
      </w:r>
      <w:r>
        <w:rPr>
          <w:rFonts w:ascii="Calibri" w:cs="Calibri" w:eastAsia="Calibri" w:hAnsi="Calibri"/>
          <w:i/>
          <w:iCs/>
          <w:color w:val="1A1A22"/>
          <w:sz w:val="21"/>
          <w:szCs w:val="21"/>
        </w:rPr>
        <w:t xml:space="preserve">which</w:t>
      </w:r>
      <w:r>
        <w:rPr>
          <w:rFonts w:ascii="Calibri" w:cs="Calibri" w:eastAsia="Calibri" w:hAnsi="Calibri"/>
          <w:color w:val="1A1A22"/>
          <w:sz w:val="21"/>
          <w:szCs w:val="21"/>
        </w:rPr>
        <w:t xml:space="preserve"> stores are off, by rules only (never the AI), so the trust story holds. Three fixes were calibrated from the real data:</w:t>
      </w:r>
    </w:p>
    <w:p>
      <w:pPr>
        <w:pStyle w:val="ListParagraph"/>
        <w:numPr>
          <w:ilvl w:val="0"/>
          <w:numId w:val="2"/>
        </w:numPr>
        <w:spacing w:after="80" w:line="272"/>
      </w:pPr>
      <w:r>
        <w:rPr>
          <w:rFonts w:ascii="Calibri" w:cs="Calibri" w:eastAsia="Calibri" w:hAnsi="Calibri"/>
          <w:b/>
          <w:bCs/>
          <w:color w:val="1A1A22"/>
          <w:sz w:val="21"/>
          <w:szCs w:val="21"/>
        </w:rPr>
        <w:t xml:space="preserve">Food safety: </w:t>
      </w:r>
      <w:r>
        <w:rPr>
          <w:rFonts w:ascii="Calibri" w:cs="Calibri" w:eastAsia="Calibri" w:hAnsi="Calibri"/>
          <w:color w:val="1A1A22"/>
          <w:sz w:val="21"/>
          <w:szCs w:val="21"/>
        </w:rPr>
        <w:t xml:space="preserve">flag only below the 80 safety floor, not the aspirational 93 target (111 → 7 alerts).</w:t>
      </w:r>
    </w:p>
    <w:p>
      <w:pPr>
        <w:pStyle w:val="ListParagraph"/>
        <w:numPr>
          <w:ilvl w:val="0"/>
          <w:numId w:val="2"/>
        </w:numPr>
        <w:spacing w:after="80" w:line="272"/>
      </w:pPr>
      <w:r>
        <w:rPr>
          <w:rFonts w:ascii="Calibri" w:cs="Calibri" w:eastAsia="Calibri" w:hAnsi="Calibri"/>
          <w:b/>
          <w:bCs/>
          <w:color w:val="1A1A22"/>
          <w:sz w:val="21"/>
          <w:szCs w:val="21"/>
        </w:rPr>
        <w:t xml:space="preserve">Percentages: </w:t>
      </w:r>
      <w:r>
        <w:rPr>
          <w:rFonts w:ascii="Calibri" w:cs="Calibri" w:eastAsia="Calibri" w:hAnsi="Calibri"/>
          <w:color w:val="1A1A22"/>
          <w:sz w:val="21"/>
          <w:szCs w:val="21"/>
        </w:rPr>
        <w:t xml:space="preserve">rate metrics compare in POINTS (</w:t>
      </w:r>
      <w:r>
        <w:rPr>
          <w:rFonts w:ascii="Calibri" w:cs="Calibri" w:eastAsia="Calibri" w:hAnsi="Calibri"/>
          <w:color w:val="0C447C"/>
          <w:sz w:val="19"/>
          <w:szCs w:val="19"/>
        </w:rPr>
        <w:t xml:space="preserve">latest − trailing</w:t>
      </w:r>
      <w:r>
        <w:rPr>
          <w:rFonts w:ascii="Calibri" w:cs="Calibri" w:eastAsia="Calibri" w:hAnsi="Calibri"/>
          <w:color w:val="1A1A22"/>
          <w:sz w:val="21"/>
          <w:szCs w:val="21"/>
        </w:rPr>
        <w:t xml:space="preserve">), never a ratio — so a 0.8-point dip reads as 0.8 points, not “89%”.</w:t>
      </w:r>
    </w:p>
    <w:p>
      <w:pPr>
        <w:pStyle w:val="ListParagraph"/>
        <w:numPr>
          <w:ilvl w:val="0"/>
          <w:numId w:val="2"/>
        </w:numPr>
        <w:spacing w:after="80" w:line="272"/>
      </w:pPr>
      <w:r>
        <w:rPr>
          <w:rFonts w:ascii="Calibri" w:cs="Calibri" w:eastAsia="Calibri" w:hAnsi="Calibri"/>
          <w:b/>
          <w:bCs/>
          <w:color w:val="1A1A22"/>
          <w:sz w:val="21"/>
          <w:szCs w:val="21"/>
        </w:rPr>
        <w:t xml:space="preserve">Severity bands: </w:t>
      </w:r>
      <w:r>
        <w:rPr>
          <w:rFonts w:ascii="Calibri" w:cs="Calibri" w:eastAsia="Calibri" w:hAnsi="Calibri"/>
          <w:color w:val="1A1A22"/>
          <w:sz w:val="21"/>
          <w:szCs w:val="21"/>
        </w:rPr>
        <w:t xml:space="preserve">per-metric point + target-gap cutoffs set from each metric's real volatility, replacing one global ratio band.</w:t>
      </w:r>
    </w:p>
    <w:p>
      <w:pPr>
        <w:spacing w:after="50" w:before="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76425"/>
                    </a:xfrm>
                    <a:prstGeom prst="rect">
                      <a:avLst/>
                    </a:prstGeom>
                  </pic:spPr>
                </pic:pic>
              </a:graphicData>
            </a:graphic>
          </wp:inline>
        </w:drawing>
      </w:r>
    </w:p>
    <w:p>
      <w:pPr>
        <w:spacing w:after="170"/>
        <w:jc w:val="center"/>
      </w:pPr>
      <w:r>
        <w:rPr>
          <w:rFonts w:ascii="Calibri" w:cs="Calibri" w:eastAsia="Calibri" w:hAnsi="Calibri"/>
          <w:i/>
          <w:iCs/>
          <w:color w:val="44444F"/>
          <w:sz w:val="17"/>
          <w:szCs w:val="17"/>
        </w:rPr>
        <w:t xml:space="preserve">Figure 3 — Recalibration impact: “High” fell from 75% to 26% of alerts; Moderate is now the majority.</w:t>
      </w:r>
    </w:p>
    <w:p>
      <w:pPr>
        <w:pStyle w:val="Heading1"/>
        <w:spacing w:after="130" w:before="300"/>
      </w:pPr>
      <w:r>
        <w:rPr>
          <w:rFonts w:ascii="Calibri" w:cs="Calibri" w:eastAsia="Calibri" w:hAnsi="Calibri"/>
          <w:b/>
          <w:bCs/>
          <w:color w:val="1C0087"/>
          <w:sz w:val="28"/>
          <w:szCs w:val="28"/>
        </w:rPr>
        <w:t xml:space="preserve">4.  The agent — LLM as analyst</w:t>
      </w:r>
    </w:p>
    <w:p>
      <w:pPr>
        <w:pStyle w:val="Heading2"/>
        <w:spacing w:after="90" w:before="220"/>
      </w:pPr>
      <w:r>
        <w:rPr>
          <w:rFonts w:ascii="Calibri" w:cs="Calibri" w:eastAsia="Calibri" w:hAnsi="Calibri"/>
          <w:b/>
          <w:bCs/>
          <w:color w:val="1C0087"/>
          <w:sz w:val="23"/>
          <w:szCs w:val="23"/>
        </w:rPr>
        <w:t xml:space="preserve">4.1  The investigation loop</w:t>
      </w:r>
    </w:p>
    <w:p>
      <w:pPr>
        <w:spacing w:after="120" w:before="0" w:line="276"/>
      </w:pPr>
      <w:r>
        <w:rPr>
          <w:rFonts w:ascii="Calibri" w:cs="Calibri" w:eastAsia="Calibri" w:hAnsi="Calibri"/>
          <w:color w:val="1A1A22"/>
          <w:sz w:val="21"/>
          <w:szCs w:val="21"/>
        </w:rPr>
        <w:t xml:space="preserve">For each flagged store the agent runs a loop: decide the next question, call a tool, read the measurement, decide again — until it can explain the store, then emit a structured </w:t>
      </w:r>
      <w:r>
        <w:rPr>
          <w:rFonts w:ascii="Calibri" w:cs="Calibri" w:eastAsia="Calibri" w:hAnsi="Calibri"/>
          <w:color w:val="0C447C"/>
          <w:sz w:val="19"/>
          <w:szCs w:val="19"/>
        </w:rPr>
        <w:t xml:space="preserve">store_diagnosis</w:t>
      </w:r>
      <w:r>
        <w:rPr>
          <w:rFonts w:ascii="Calibri" w:cs="Calibri" w:eastAsia="Calibri" w:hAnsi="Calibri"/>
          <w:color w:val="1A1A22"/>
          <w:sz w:val="21"/>
          <w:szCs w:val="21"/>
        </w:rPr>
        <w:t xml:space="preserve">. A tool-call budget guarantees it concludes.</w:t>
      </w:r>
    </w:p>
    <w:p>
      <w:pPr>
        <w:spacing w:after="50" w:before="120"/>
        <w:jc w:val="center"/>
      </w:pPr>
      <w:r>
        <w:drawing>
          <wp:inline distT="0" distB="0" distL="0" distR="0">
            <wp:extent cx="35433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43300" cy="4895850"/>
                    </a:xfrm>
                    <a:prstGeom prst="rect">
                      <a:avLst/>
                    </a:prstGeom>
                  </pic:spPr>
                </pic:pic>
              </a:graphicData>
            </a:graphic>
          </wp:inline>
        </w:drawing>
      </w:r>
    </w:p>
    <w:p>
      <w:pPr>
        <w:spacing w:after="170"/>
        <w:jc w:val="center"/>
      </w:pPr>
      <w:r>
        <w:rPr>
          <w:rFonts w:ascii="Calibri" w:cs="Calibri" w:eastAsia="Calibri" w:hAnsi="Calibri"/>
          <w:i/>
          <w:iCs/>
          <w:color w:val="44444F"/>
          <w:sz w:val="17"/>
          <w:szCs w:val="17"/>
        </w:rPr>
        <w:t xml:space="preserve">Figure 4 — The investigation loop (agent_loop.diagnose_store_agentic).</w:t>
      </w:r>
    </w:p>
    <w:p>
      <w:pPr>
        <w:pStyle w:val="Heading2"/>
        <w:spacing w:after="90" w:before="220"/>
      </w:pPr>
      <w:r>
        <w:rPr>
          <w:rFonts w:ascii="Calibri" w:cs="Calibri" w:eastAsia="Calibri" w:hAnsi="Calibri"/>
          <w:b/>
          <w:bCs/>
          <w:color w:val="1C0087"/>
          <w:sz w:val="23"/>
          <w:szCs w:val="23"/>
        </w:rPr>
        <w:t xml:space="preserve">4.2  The tools</w:t>
      </w:r>
    </w:p>
    <w:p>
      <w:pPr>
        <w:spacing w:after="120" w:before="0" w:line="276"/>
      </w:pPr>
      <w:r>
        <w:rPr>
          <w:rFonts w:ascii="Calibri" w:cs="Calibri" w:eastAsia="Calibri" w:hAnsi="Calibri"/>
          <w:color w:val="1A1A22"/>
          <w:sz w:val="21"/>
          <w:szCs w:val="21"/>
        </w:rPr>
        <w:t xml:space="preserve">Two kinds of tools. Analysis doors return a </w:t>
      </w:r>
      <w:r>
        <w:rPr>
          <w:rFonts w:ascii="Calibri" w:cs="Calibri" w:eastAsia="Calibri" w:hAnsi="Calibri"/>
          <w:b/>
          <w:bCs/>
          <w:color w:val="1A1A22"/>
          <w:sz w:val="21"/>
          <w:szCs w:val="21"/>
        </w:rPr>
        <w:t xml:space="preserve">measurement</w:t>
      </w:r>
      <w:r>
        <w:rPr>
          <w:rFonts w:ascii="Calibri" w:cs="Calibri" w:eastAsia="Calibri" w:hAnsi="Calibri"/>
          <w:color w:val="1A1A22"/>
          <w:sz w:val="21"/>
          <w:szCs w:val="21"/>
        </w:rPr>
        <w:t xml:space="preserve"> (a calculation, not a verdict); raw-data doors hand back the actual rows so the agent can look for itself. Every tool is read-only and verified once.</w:t>
      </w:r>
    </w:p>
    <w:p>
      <w:pPr>
        <w:spacing w:after="50" w:before="120"/>
        <w:jc w:val="center"/>
      </w:pPr>
      <w:r>
        <w:drawing>
          <wp:inline distT="0" distB="0" distL="0" distR="0">
            <wp:extent cx="56197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533775"/>
                    </a:xfrm>
                    <a:prstGeom prst="rect">
                      <a:avLst/>
                    </a:prstGeom>
                  </pic:spPr>
                </pic:pic>
              </a:graphicData>
            </a:graphic>
          </wp:inline>
        </w:drawing>
      </w:r>
    </w:p>
    <w:p>
      <w:pPr>
        <w:spacing w:after="170"/>
        <w:jc w:val="center"/>
      </w:pPr>
      <w:r>
        <w:rPr>
          <w:rFonts w:ascii="Calibri" w:cs="Calibri" w:eastAsia="Calibri" w:hAnsi="Calibri"/>
          <w:i/>
          <w:iCs/>
          <w:color w:val="44444F"/>
          <w:sz w:val="17"/>
          <w:szCs w:val="17"/>
        </w:rPr>
        <w:t xml:space="preserve">Figure 5 — The toolbox: analysis doors + raw-data doors, over the store data.</w:t>
      </w:r>
    </w:p>
    <w:p>
      <w:pPr>
        <w:pStyle w:val="Heading2"/>
        <w:spacing w:after="90" w:before="220"/>
      </w:pPr>
      <w:r>
        <w:rPr>
          <w:rFonts w:ascii="Calibri" w:cs="Calibri" w:eastAsia="Calibri" w:hAnsi="Calibri"/>
          <w:b/>
          <w:bCs/>
          <w:color w:val="1C0087"/>
          <w:sz w:val="23"/>
          <w:szCs w:val="23"/>
        </w:rPr>
        <w:t xml:space="preserve">4.3  The store_diagnosis output</w:t>
      </w:r>
    </w:p>
    <w:p>
      <w:pPr>
        <w:spacing w:after="120" w:before="0" w:line="276"/>
      </w:pPr>
      <w:r>
        <w:rPr>
          <w:rFonts w:ascii="Calibri" w:cs="Calibri" w:eastAsia="Calibri" w:hAnsi="Calibri"/>
          <w:color w:val="1A1A22"/>
          <w:sz w:val="21"/>
          <w:szCs w:val="21"/>
        </w:rPr>
        <w:t xml:space="preserve">The agent returns one structured object (forced tool-use). Each field maps to the card:</w:t>
      </w:r>
    </w:p>
    <w:tbl>
      <w:tblPr>
        <w:tblW w:type="dxa" w:w="9360"/>
        <w:tblBorders>
          <w:top w:val="single" w:color="C2C8DA" w:sz="2"/>
          <w:left w:val="single" w:color="C2C8DA" w:sz="2"/>
          <w:bottom w:val="single" w:color="C2C8DA" w:sz="2"/>
          <w:right w:val="single" w:color="C2C8DA" w:sz="2"/>
          <w:insideH w:val="single" w:color="D8DCE8" w:sz="2"/>
          <w:insideV w:val="single" w:color="D8DCE8" w:sz="2"/>
        </w:tblBorders>
      </w:tblPr>
      <w:tblGrid>
        <w:gridCol w:w="2400"/>
        <w:gridCol w:w="6960"/>
      </w:tblGrid>
      <w:tr>
        <w:trPr>
          <w:tblHeader/>
        </w:trPr>
        <w:tc>
          <w:tcPr>
            <w:tcW w:type="dxa" w:w="240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Field</w:t>
            </w:r>
          </w:p>
        </w:tc>
        <w:tc>
          <w:tcPr>
            <w:tcW w:type="dxa" w:w="696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What it is</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severity · confidence · scope</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Critical/High/Moderate · High/Med/Low · store-specific vs cohort-wide</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driver</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One structured tag (traffic, ticket_value, guest_experience, food_safety, cost_margin, operations) — used to cluster stores</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headline</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One plain sentence with the key number</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primary_metric · trend</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hero number + target, and the recent series for the sparkline</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peer</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This store vs its cohort average (the peer bars)</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root_cause · causal_chain</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cause in plain words + how the metrics connect</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recommended_action · action_context</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One imperative next step + short why</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also_check</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External factors it could not test, labelled “not confirmed in data”</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secondary_issues</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Independent problems in the same store (multi-root), each with its own cause/action/route</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suggested_route</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tier the agent thinks should own it (FBC / Area Director / RVP / Functional)</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evidence · cited_values · unresolved</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tool trail, every cited number (for the guard), and what it couldn't test</w:t>
            </w:r>
          </w:p>
        </w:tc>
      </w:tr>
    </w:tbl>
    <w:p>
      <w:pPr>
        <w:spacing w:after="80"/>
      </w:pPr>
      <w:r>
        <w:rPr>
          <w:rFonts w:ascii="Calibri" w:cs="Calibri" w:eastAsia="Calibri" w:hAnsi="Calibri"/>
          <w:color w:val="1A1A22"/>
          <w:sz w:val="21"/>
          <w:szCs w:val="21"/>
        </w:rPr>
        <w:t xml:space="preserve"/>
      </w:r>
    </w:p>
    <w:tbl>
      <w:tblPr>
        <w:tblW w:type="dxa" w:w="9360"/>
        <w:tblBorders>
          <w:top w:val="single" w:color="1C0087" w:sz="4"/>
          <w:left w:val="single" w:color="1C0087" w:sz="26"/>
          <w:bottom w:val="single" w:color="1C0087" w:sz="4"/>
          <w:right w:val="single" w:color="1C0087" w:sz="4"/>
          <w:insideH w:val="single" w:color="auto" w:sz="4"/>
          <w:insideV w:val="single" w:color="auto" w:sz="4"/>
        </w:tblBorders>
      </w:tblPr>
      <w:tblGrid>
        <w:gridCol w:w="9360"/>
      </w:tblGrid>
      <w:tr>
        <w:tc>
          <w:tcPr>
            <w:tcW w:type="dxa" w:w="9360"/>
            <w:shd w:fill="E9F2FC" w:color="auto" w:val="clear"/>
            <w:tcMar>
              <w:top w:type="dxa" w:w="100"/>
              <w:left w:type="dxa" w:w="160"/>
              <w:bottom w:type="dxa" w:w="100"/>
              <w:right w:type="dxa" w:w="160"/>
            </w:tcMar>
          </w:tcPr>
          <w:p>
            <w:pPr>
              <w:spacing w:after="60"/>
            </w:pPr>
            <w:r>
              <w:rPr>
                <w:rFonts w:ascii="Calibri" w:cs="Calibri" w:eastAsia="Calibri" w:hAnsi="Calibri"/>
                <w:b/>
                <w:bCs/>
                <w:color w:val="1C0087"/>
                <w:sz w:val="21"/>
                <w:szCs w:val="21"/>
              </w:rPr>
              <w:t xml:space="preserve">Two rules that keep the agent honest</w:t>
            </w:r>
          </w:p>
          <w:p>
            <w:pPr>
              <w:spacing w:after="40" w:line="268"/>
            </w:pPr>
            <w:r>
              <w:rPr>
                <w:rFonts w:ascii="Calibri" w:cs="Calibri" w:eastAsia="Calibri" w:hAnsi="Calibri"/>
                <w:color w:val="1A1A22"/>
                <w:sz w:val="21"/>
                <w:szCs w:val="21"/>
              </w:rPr>
              <w:t xml:space="preserve">Tools return </w:t>
            </w:r>
            <w:r>
              <w:rPr>
                <w:rFonts w:ascii="Calibri" w:cs="Calibri" w:eastAsia="Calibri" w:hAnsi="Calibri"/>
                <w:b/>
                <w:bCs/>
                <w:color w:val="1C0087"/>
                <w:sz w:val="21"/>
                <w:szCs w:val="21"/>
              </w:rPr>
              <w:t xml:space="preserve">measurements, never verdicts</w:t>
            </w:r>
            <w:r>
              <w:rPr>
                <w:rFonts w:ascii="Calibri" w:cs="Calibri" w:eastAsia="Calibri" w:hAnsi="Calibri"/>
                <w:color w:val="1A1A22"/>
                <w:sz w:val="21"/>
                <w:szCs w:val="21"/>
              </w:rPr>
              <w:t xml:space="preserve"> — the moment a tool concludes, the thinking leaves the model. And the agent </w:t>
            </w:r>
            <w:r>
              <w:rPr>
                <w:rFonts w:ascii="Calibri" w:cs="Calibri" w:eastAsia="Calibri" w:hAnsi="Calibri"/>
                <w:b/>
                <w:bCs/>
                <w:color w:val="1A1A22"/>
                <w:sz w:val="21"/>
                <w:szCs w:val="21"/>
              </w:rPr>
              <w:t xml:space="preserve">never asserts what it hasn't checked</w:t>
            </w:r>
            <w:r>
              <w:rPr>
                <w:rFonts w:ascii="Calibri" w:cs="Calibri" w:eastAsia="Calibri" w:hAnsi="Calibri"/>
                <w:color w:val="1A1A22"/>
                <w:sz w:val="21"/>
                <w:szCs w:val="21"/>
              </w:rPr>
              <w:t xml:space="preserve"> — unprovable causes go in </w:t>
            </w:r>
            <w:r>
              <w:rPr>
                <w:rFonts w:ascii="Calibri" w:cs="Calibri" w:eastAsia="Calibri" w:hAnsi="Calibri"/>
                <w:color w:val="0C447C"/>
                <w:sz w:val="19"/>
                <w:szCs w:val="19"/>
              </w:rPr>
              <w:t xml:space="preserve">also_check</w:t>
            </w:r>
            <w:r>
              <w:rPr>
                <w:rFonts w:ascii="Calibri" w:cs="Calibri" w:eastAsia="Calibri" w:hAnsi="Calibri"/>
                <w:color w:val="1A1A22"/>
                <w:sz w:val="21"/>
                <w:szCs w:val="21"/>
              </w:rPr>
              <w:t xml:space="preserve">, not the root cause.</w:t>
            </w:r>
          </w:p>
        </w:tc>
      </w:tr>
    </w:tbl>
    <w:p>
      <w:pPr>
        <w:pStyle w:val="Heading2"/>
        <w:spacing w:after="90" w:before="220"/>
      </w:pPr>
      <w:r>
        <w:rPr>
          <w:rFonts w:ascii="Calibri" w:cs="Calibri" w:eastAsia="Calibri" w:hAnsi="Calibri"/>
          <w:b/>
          <w:bCs/>
          <w:color w:val="1C0087"/>
          <w:sz w:val="23"/>
          <w:szCs w:val="23"/>
        </w:rPr>
        <w:t xml:space="preserve">4.4  Grounding</w:t>
      </w:r>
    </w:p>
    <w:p>
      <w:pPr>
        <w:spacing w:after="120" w:before="0" w:line="276"/>
      </w:pPr>
      <w:r>
        <w:rPr>
          <w:rFonts w:ascii="Calibri" w:cs="Calibri" w:eastAsia="Calibri" w:hAnsi="Calibri"/>
          <w:color w:val="1A1A22"/>
          <w:sz w:val="21"/>
          <w:szCs w:val="21"/>
        </w:rPr>
        <w:t xml:space="preserve">Before a diagnosis is shown, </w:t>
      </w:r>
      <w:r>
        <w:rPr>
          <w:rFonts w:ascii="Calibri" w:cs="Calibri" w:eastAsia="Calibri" w:hAnsi="Calibri"/>
          <w:color w:val="0C447C"/>
          <w:sz w:val="19"/>
          <w:szCs w:val="19"/>
        </w:rPr>
        <w:t xml:space="preserve">ground.ground_agent</w:t>
      </w:r>
      <w:r>
        <w:rPr>
          <w:rFonts w:ascii="Calibri" w:cs="Calibri" w:eastAsia="Calibri" w:hAnsi="Calibri"/>
          <w:color w:val="1A1A22"/>
          <w:sz w:val="21"/>
          <w:szCs w:val="21"/>
        </w:rPr>
        <w:t xml:space="preserve"> enforces the severity floor: the worst deterministic severity across the store's anomalies (and an FSA floor breach) can raise severity but the AI can never lower a hard rule. The overall badge is the worst of the primary and any secondary issues. If the agent is unavailable, PRISM falls back to the deterministic diagnosis so no store is dropped.</w:t>
      </w:r>
    </w:p>
    <w:p>
      <w:pPr>
        <w:pStyle w:val="Heading1"/>
        <w:spacing w:after="130" w:before="300"/>
      </w:pPr>
      <w:r>
        <w:rPr>
          <w:rFonts w:ascii="Calibri" w:cs="Calibri" w:eastAsia="Calibri" w:hAnsi="Calibri"/>
          <w:b/>
          <w:bCs/>
          <w:color w:val="1C0087"/>
          <w:sz w:val="28"/>
          <w:szCs w:val="28"/>
        </w:rPr>
        <w:t xml:space="preserve">5.  The output card</w:t>
      </w:r>
    </w:p>
    <w:p>
      <w:pPr>
        <w:spacing w:after="120" w:before="0" w:line="276"/>
      </w:pPr>
      <w:r>
        <w:rPr>
          <w:rFonts w:ascii="Calibri" w:cs="Calibri" w:eastAsia="Calibri" w:hAnsi="Calibri"/>
          <w:color w:val="1A1A22"/>
          <w:sz w:val="21"/>
          <w:szCs w:val="21"/>
        </w:rPr>
        <w:t xml:space="preserve">The card is a glance: severity, one number, where it sits vs peers, one cause, one action — with the evidence tucked behind “View full breakdown.”</w:t>
      </w:r>
    </w:p>
    <w:p>
      <w:pPr>
        <w:spacing w:after="50" w:before="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52875"/>
                    </a:xfrm>
                    <a:prstGeom prst="rect">
                      <a:avLst/>
                    </a:prstGeom>
                  </pic:spPr>
                </pic:pic>
              </a:graphicData>
            </a:graphic>
          </wp:inline>
        </w:drawing>
      </w:r>
    </w:p>
    <w:p>
      <w:pPr>
        <w:spacing w:after="170"/>
        <w:jc w:val="center"/>
      </w:pPr>
      <w:r>
        <w:rPr>
          <w:rFonts w:ascii="Calibri" w:cs="Calibri" w:eastAsia="Calibri" w:hAnsi="Calibri"/>
          <w:i/>
          <w:iCs/>
          <w:color w:val="44444F"/>
          <w:sz w:val="17"/>
          <w:szCs w:val="17"/>
        </w:rPr>
        <w:t xml:space="preserve">Figure 6 — Anatomy of the redesigned store card.</w:t>
      </w:r>
    </w:p>
    <w:p>
      <w:pPr>
        <w:spacing w:after="120" w:before="0" w:line="276"/>
      </w:pPr>
      <w:r>
        <w:rPr>
          <w:rFonts w:ascii="Calibri" w:cs="Calibri" w:eastAsia="Calibri" w:hAnsi="Calibri"/>
          <w:b/>
          <w:bCs/>
          <w:color w:val="1A1A22"/>
          <w:sz w:val="21"/>
          <w:szCs w:val="21"/>
        </w:rPr>
        <w:t xml:space="preserve">Multi-root: </w:t>
      </w:r>
      <w:r>
        <w:rPr>
          <w:rFonts w:ascii="Calibri" w:cs="Calibri" w:eastAsia="Calibri" w:hAnsi="Calibri"/>
          <w:color w:val="1A1A22"/>
          <w:sz w:val="21"/>
          <w:szCs w:val="21"/>
        </w:rPr>
        <w:t xml:space="preserve">when a store has genuinely independent problems (e.g. a sales issue AND a food-safety breach), the most urgent is the primary and the rest appear as compact “Also flagged” blocks with their own action and owner — not blended into one narrative.</w:t>
      </w:r>
    </w:p>
    <w:p>
      <w:pPr>
        <w:pStyle w:val="Heading1"/>
        <w:spacing w:after="130" w:before="300"/>
      </w:pPr>
      <w:r>
        <w:rPr>
          <w:rFonts w:ascii="Calibri" w:cs="Calibri" w:eastAsia="Calibri" w:hAnsi="Calibri"/>
          <w:b/>
          <w:bCs/>
          <w:color w:val="1C0087"/>
          <w:sz w:val="28"/>
          <w:szCs w:val="28"/>
        </w:rPr>
        <w:t xml:space="preserve">6.  Cause-aware correlation</w:t>
      </w:r>
    </w:p>
    <w:p>
      <w:pPr>
        <w:spacing w:after="120" w:before="0" w:line="276"/>
      </w:pPr>
      <w:r>
        <w:rPr>
          <w:rFonts w:ascii="Calibri" w:cs="Calibri" w:eastAsia="Calibri" w:hAnsi="Calibri"/>
          <w:color w:val="1A1A22"/>
          <w:sz w:val="21"/>
          <w:szCs w:val="21"/>
        </w:rPr>
        <w:t xml:space="preserve">Every flagged store gets a cheap deterministic </w:t>
      </w:r>
      <w:r>
        <w:rPr>
          <w:rFonts w:ascii="Calibri" w:cs="Calibri" w:eastAsia="Calibri" w:hAnsi="Calibri"/>
          <w:color w:val="0C447C"/>
          <w:sz w:val="19"/>
          <w:szCs w:val="19"/>
        </w:rPr>
        <w:t xml:space="preserve">driver</w:t>
      </w:r>
      <w:r>
        <w:rPr>
          <w:rFonts w:ascii="Calibri" w:cs="Calibri" w:eastAsia="Calibri" w:hAnsi="Calibri"/>
          <w:color w:val="1A1A22"/>
          <w:sz w:val="21"/>
          <w:szCs w:val="21"/>
        </w:rPr>
        <w:t xml:space="preserve"> tag (the agent's richer driver overrides on the diagnosed cards), so correlation sees the whole fleet. Stores that share a driver under one FBC are clustered — turning “N stores flagged” into “N stores share ONE cause.”</w:t>
      </w:r>
    </w:p>
    <w:p>
      <w:pPr>
        <w:spacing w:after="50" w:before="12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90850"/>
                    </a:xfrm>
                    <a:prstGeom prst="rect">
                      <a:avLst/>
                    </a:prstGeom>
                  </pic:spPr>
                </pic:pic>
              </a:graphicData>
            </a:graphic>
          </wp:inline>
        </w:drawing>
      </w:r>
    </w:p>
    <w:p>
      <w:pPr>
        <w:spacing w:after="170"/>
        <w:jc w:val="center"/>
      </w:pPr>
      <w:r>
        <w:rPr>
          <w:rFonts w:ascii="Calibri" w:cs="Calibri" w:eastAsia="Calibri" w:hAnsi="Calibri"/>
          <w:i/>
          <w:iCs/>
          <w:color w:val="44444F"/>
          <w:sz w:val="17"/>
          <w:szCs w:val="17"/>
        </w:rPr>
        <w:t xml:space="preserve">Figure 7 — From co-flagging to shared-cause: several stores roll up into one systemic insight.</w:t>
      </w:r>
    </w:p>
    <w:p>
      <w:pPr>
        <w:spacing w:after="120" w:before="0" w:line="276"/>
      </w:pPr>
      <w:r>
        <w:rPr>
          <w:rFonts w:ascii="Calibri" w:cs="Calibri" w:eastAsia="Calibri" w:hAnsi="Calibri"/>
          <w:color w:val="1A1A22"/>
          <w:sz w:val="21"/>
          <w:szCs w:val="21"/>
        </w:rPr>
        <w:t xml:space="preserve">But a cluster is only called </w:t>
      </w:r>
      <w:r>
        <w:rPr>
          <w:rFonts w:ascii="Calibri" w:cs="Calibri" w:eastAsia="Calibri" w:hAnsi="Calibri"/>
          <w:b/>
          <w:bCs/>
          <w:color w:val="1A1A22"/>
          <w:sz w:val="21"/>
          <w:szCs w:val="21"/>
        </w:rPr>
        <w:t xml:space="preserve">systemic</w:t>
      </w:r>
      <w:r>
        <w:rPr>
          <w:rFonts w:ascii="Calibri" w:cs="Calibri" w:eastAsia="Calibri" w:hAnsi="Calibri"/>
          <w:color w:val="1A1A22"/>
          <w:sz w:val="21"/>
          <w:szCs w:val="21"/>
        </w:rPr>
        <w:t xml:space="preserve"> if it clears all three bars — so weak coincidences are dropped:</w:t>
      </w:r>
    </w:p>
    <w:p>
      <w:pPr>
        <w:pStyle w:val="ListParagraph"/>
        <w:numPr>
          <w:ilvl w:val="0"/>
          <w:numId w:val="2"/>
        </w:numPr>
        <w:spacing w:after="80" w:line="272"/>
      </w:pPr>
      <w:r>
        <w:rPr>
          <w:rFonts w:ascii="Calibri" w:cs="Calibri" w:eastAsia="Calibri" w:hAnsi="Calibri"/>
          <w:color w:val="1A1A22"/>
          <w:sz w:val="21"/>
          <w:szCs w:val="21"/>
        </w:rPr>
        <w:t xml:space="preserve">count ≥ 3 stores,</w:t>
      </w:r>
    </w:p>
    <w:p>
      <w:pPr>
        <w:pStyle w:val="ListParagraph"/>
        <w:numPr>
          <w:ilvl w:val="0"/>
          <w:numId w:val="2"/>
        </w:numPr>
        <w:spacing w:after="80" w:line="272"/>
      </w:pPr>
      <w:r>
        <w:rPr>
          <w:rFonts w:ascii="Calibri" w:cs="Calibri" w:eastAsia="Calibri" w:hAnsi="Calibri"/>
          <w:color w:val="1A1A22"/>
          <w:sz w:val="21"/>
          <w:szCs w:val="21"/>
        </w:rPr>
        <w:t xml:space="preserve">share ≥ 40% of that FBC's stores, and</w:t>
      </w:r>
    </w:p>
    <w:p>
      <w:pPr>
        <w:pStyle w:val="ListParagraph"/>
        <w:numPr>
          <w:ilvl w:val="0"/>
          <w:numId w:val="2"/>
        </w:numPr>
        <w:spacing w:after="80" w:line="272"/>
      </w:pPr>
      <w:r>
        <w:rPr>
          <w:rFonts w:ascii="Calibri" w:cs="Calibri" w:eastAsia="Calibri" w:hAnsi="Calibri"/>
          <w:color w:val="1A1A22"/>
          <w:sz w:val="21"/>
          <w:szCs w:val="21"/>
        </w:rPr>
        <w:t xml:space="preserve">lift ≥ 1.8× — the driver is that many times more common here than fleet-wide.</w:t>
      </w:r>
    </w:p>
    <w:tbl>
      <w:tblPr>
        <w:tblW w:type="dxa" w:w="9360"/>
        <w:tblBorders>
          <w:top w:val="single" w:color="1C0087" w:sz="4"/>
          <w:left w:val="single" w:color="1C0087" w:sz="26"/>
          <w:bottom w:val="single" w:color="1C0087" w:sz="4"/>
          <w:right w:val="single" w:color="1C0087" w:sz="4"/>
          <w:insideH w:val="single" w:color="auto" w:sz="4"/>
          <w:insideV w:val="single" w:color="auto" w:sz="4"/>
        </w:tblBorders>
      </w:tblPr>
      <w:tblGrid>
        <w:gridCol w:w="9360"/>
      </w:tblGrid>
      <w:tr>
        <w:tc>
          <w:tcPr>
            <w:tcW w:type="dxa" w:w="9360"/>
            <w:shd w:fill="E9F2FC" w:color="auto" w:val="clear"/>
            <w:tcMar>
              <w:top w:type="dxa" w:w="100"/>
              <w:left w:type="dxa" w:w="160"/>
              <w:bottom w:type="dxa" w:w="100"/>
              <w:right w:type="dxa" w:w="160"/>
            </w:tcMar>
          </w:tcPr>
          <w:p>
            <w:pPr>
              <w:spacing w:after="60"/>
            </w:pPr>
            <w:r>
              <w:rPr>
                <w:rFonts w:ascii="Calibri" w:cs="Calibri" w:eastAsia="Calibri" w:hAnsi="Calibri"/>
                <w:b/>
                <w:bCs/>
                <w:color w:val="1C0087"/>
                <w:sz w:val="21"/>
                <w:szCs w:val="21"/>
              </w:rPr>
              <w:t xml:space="preserve">Why the lift test matters</w:t>
            </w:r>
          </w:p>
          <w:p>
            <w:pPr>
              <w:spacing w:after="40" w:line="268"/>
            </w:pPr>
            <w:r>
              <w:rPr>
                <w:rFonts w:ascii="Calibri" w:cs="Calibri" w:eastAsia="Calibri" w:hAnsi="Calibri"/>
                <w:color w:val="1A1A22"/>
                <w:sz w:val="21"/>
                <w:szCs w:val="21"/>
              </w:rPr>
              <w:t xml:space="preserve">On the real data, “8 stores under one FBC share guest-experience” looks huge — but guest-experience is the fleet norm (53%), so it's just background and gets </w:t>
            </w:r>
            <w:r>
              <w:rPr>
                <w:rFonts w:ascii="Calibri" w:cs="Calibri" w:eastAsia="Calibri" w:hAnsi="Calibri"/>
                <w:b/>
                <w:bCs/>
                <w:color w:val="A11B33"/>
                <w:sz w:val="21"/>
                <w:szCs w:val="21"/>
              </w:rPr>
              <w:t xml:space="preserve">dropped</w:t>
            </w:r>
            <w:r>
              <w:rPr>
                <w:rFonts w:ascii="Calibri" w:cs="Calibri" w:eastAsia="Calibri" w:hAnsi="Calibri"/>
                <w:color w:val="1A1A22"/>
                <w:sz w:val="21"/>
                <w:szCs w:val="21"/>
              </w:rPr>
              <w:t xml:space="preserve">. Meanwhile a 7-store cohort that's 2.3× the fleet's ticket-value rate is surfaced as genuinely systemic. Concrete correlation, not any correlation.</w:t>
            </w:r>
          </w:p>
        </w:tc>
      </w:tr>
    </w:tbl>
    <w:p>
      <w:pPr>
        <w:pStyle w:val="Heading1"/>
        <w:spacing w:after="130" w:before="300"/>
      </w:pPr>
      <w:r>
        <w:rPr>
          <w:rFonts w:ascii="Calibri" w:cs="Calibri" w:eastAsia="Calibri" w:hAnsi="Calibri"/>
          <w:b/>
          <w:bCs/>
          <w:color w:val="1C0087"/>
          <w:sz w:val="28"/>
          <w:szCs w:val="28"/>
        </w:rPr>
        <w:t xml:space="preserve">7.  Routing &amp; alerts</w:t>
      </w:r>
    </w:p>
    <w:p>
      <w:pPr>
        <w:spacing w:after="120" w:before="0" w:line="276"/>
      </w:pPr>
      <w:r>
        <w:rPr>
          <w:rFonts w:ascii="Calibri" w:cs="Calibri" w:eastAsia="Calibri" w:hAnsi="Calibri"/>
          <w:color w:val="1A1A22"/>
          <w:sz w:val="21"/>
          <w:szCs w:val="21"/>
        </w:rPr>
        <w:t xml:space="preserve">Alerts route by cause and level, not a fixed owner list. The </w:t>
      </w:r>
      <w:r>
        <w:rPr>
          <w:rFonts w:ascii="Calibri" w:cs="Calibri" w:eastAsia="Calibri" w:hAnsi="Calibri"/>
          <w:b/>
          <w:bCs/>
          <w:color w:val="1A1A22"/>
          <w:sz w:val="21"/>
          <w:szCs w:val="21"/>
        </w:rPr>
        <w:t xml:space="preserve">agent picks the tier</w:t>
      </w:r>
      <w:r>
        <w:rPr>
          <w:rFonts w:ascii="Calibri" w:cs="Calibri" w:eastAsia="Calibri" w:hAnsi="Calibri"/>
          <w:color w:val="1A1A22"/>
          <w:sz w:val="21"/>
          <w:szCs w:val="21"/>
        </w:rPr>
        <w:t xml:space="preserve"> (</w:t>
      </w:r>
      <w:r>
        <w:rPr>
          <w:rFonts w:ascii="Calibri" w:cs="Calibri" w:eastAsia="Calibri" w:hAnsi="Calibri"/>
          <w:color w:val="0C447C"/>
          <w:sz w:val="19"/>
          <w:szCs w:val="19"/>
        </w:rPr>
        <w:t xml:space="preserve">suggested_route</w:t>
      </w:r>
      <w:r>
        <w:rPr>
          <w:rFonts w:ascii="Calibri" w:cs="Calibri" w:eastAsia="Calibri" w:hAnsi="Calibri"/>
          <w:color w:val="1A1A22"/>
          <w:sz w:val="21"/>
          <w:szCs w:val="21"/>
        </w:rPr>
        <w:t xml:space="preserve">); the org table resolves the actual person; if a tier is unassigned it escalates up the chain. A store-specific issue goes to the FBC; a systemic or food-safety issue goes up (Area Director, or RVP if no Area Director exists). Secondary issues route separately — so a store's sales problem can reach the FBC while its food-safety breach reaches the Area Director. The composed message and the dispatch bar show the real recipients; the model never invents a contact.</w:t>
      </w:r>
    </w:p>
    <w:p>
      <w:pPr>
        <w:pStyle w:val="Heading1"/>
        <w:spacing w:after="130" w:before="300"/>
      </w:pPr>
      <w:r>
        <w:rPr>
          <w:rFonts w:ascii="Calibri" w:cs="Calibri" w:eastAsia="Calibri" w:hAnsi="Calibri"/>
          <w:b/>
          <w:bCs/>
          <w:color w:val="1C0087"/>
          <w:sz w:val="28"/>
          <w:szCs w:val="28"/>
        </w:rPr>
        <w:t xml:space="preserve">8.  Persistence &amp; the data boundary</w:t>
      </w:r>
    </w:p>
    <w:p>
      <w:pPr>
        <w:spacing w:after="120" w:before="0" w:line="276"/>
      </w:pPr>
      <w:r>
        <w:rPr>
          <w:rFonts w:ascii="Calibri" w:cs="Calibri" w:eastAsia="Calibri" w:hAnsi="Calibri"/>
          <w:color w:val="1A1A22"/>
          <w:sz w:val="21"/>
          <w:szCs w:val="21"/>
        </w:rPr>
        <w:t xml:space="preserve">Diagnoses are written to an </w:t>
      </w:r>
      <w:r>
        <w:rPr>
          <w:rFonts w:ascii="Calibri" w:cs="Calibri" w:eastAsia="Calibri" w:hAnsi="Calibri"/>
          <w:color w:val="0C447C"/>
          <w:sz w:val="19"/>
          <w:szCs w:val="19"/>
        </w:rPr>
        <w:t xml:space="preserve">insights</w:t>
      </w:r>
      <w:r>
        <w:rPr>
          <w:rFonts w:ascii="Calibri" w:cs="Calibri" w:eastAsia="Calibri" w:hAnsi="Calibri"/>
          <w:color w:val="1A1A22"/>
          <w:sz w:val="21"/>
          <w:szCs w:val="21"/>
        </w:rPr>
        <w:t xml:space="preserve"> table (SQLite; the machine-owned record — upserted, auto-resolving when a store recovers) and mirrored to a CSV a Power BI dashboard reads. Human feedback (👍/👎/acknowledge) writes to a separate </w:t>
      </w:r>
      <w:r>
        <w:rPr>
          <w:rFonts w:ascii="Calibri" w:cs="Calibri" w:eastAsia="Calibri" w:hAnsi="Calibri"/>
          <w:color w:val="0C447C"/>
          <w:sz w:val="19"/>
          <w:szCs w:val="19"/>
        </w:rPr>
        <w:t xml:space="preserve">insight_actions</w:t>
      </w:r>
      <w:r>
        <w:rPr>
          <w:rFonts w:ascii="Calibri" w:cs="Calibri" w:eastAsia="Calibri" w:hAnsi="Calibri"/>
          <w:color w:val="1A1A22"/>
          <w:sz w:val="21"/>
          <w:szCs w:val="21"/>
        </w:rPr>
        <w:t xml:space="preserve"> table so re-runs never clobber it. All reads/writes pass through </w:t>
      </w:r>
      <w:r>
        <w:rPr>
          <w:rFonts w:ascii="Calibri" w:cs="Calibri" w:eastAsia="Calibri" w:hAnsi="Calibri"/>
          <w:color w:val="0C447C"/>
          <w:sz w:val="19"/>
          <w:szCs w:val="19"/>
        </w:rPr>
        <w:t xml:space="preserve">data_connector</w:t>
      </w:r>
      <w:r>
        <w:rPr>
          <w:rFonts w:ascii="Calibri" w:cs="Calibri" w:eastAsia="Calibri" w:hAnsi="Calibri"/>
          <w:color w:val="1A1A22"/>
          <w:sz w:val="21"/>
          <w:szCs w:val="21"/>
        </w:rPr>
        <w:t xml:space="preserve"> — the one place repointed at Microsoft Fabric in production.</w:t>
      </w:r>
    </w:p>
    <w:p>
      <w:pPr>
        <w:pStyle w:val="Heading1"/>
        <w:spacing w:after="130" w:before="300"/>
      </w:pPr>
      <w:r>
        <w:rPr>
          <w:rFonts w:ascii="Calibri" w:cs="Calibri" w:eastAsia="Calibri" w:hAnsi="Calibri"/>
          <w:b/>
          <w:bCs/>
          <w:color w:val="1C0087"/>
          <w:sz w:val="28"/>
          <w:szCs w:val="28"/>
        </w:rPr>
        <w:t xml:space="preserve">9.  Configuration reference</w:t>
      </w:r>
    </w:p>
    <w:p>
      <w:pPr>
        <w:spacing w:after="120" w:before="0" w:line="276"/>
      </w:pPr>
      <w:r>
        <w:rPr>
          <w:rFonts w:ascii="Calibri" w:cs="Calibri" w:eastAsia="Calibri" w:hAnsi="Calibri"/>
          <w:color w:val="1A1A22"/>
          <w:sz w:val="21"/>
          <w:szCs w:val="21"/>
        </w:rPr>
        <w:t xml:space="preserve">Everything below is tunable in </w:t>
      </w:r>
      <w:r>
        <w:rPr>
          <w:rFonts w:ascii="Calibri" w:cs="Calibri" w:eastAsia="Calibri" w:hAnsi="Calibri"/>
          <w:color w:val="0C447C"/>
          <w:sz w:val="19"/>
          <w:szCs w:val="19"/>
        </w:rPr>
        <w:t xml:space="preserve">prism_config.yaml</w:t>
      </w:r>
      <w:r>
        <w:rPr>
          <w:rFonts w:ascii="Calibri" w:cs="Calibri" w:eastAsia="Calibri" w:hAnsi="Calibri"/>
          <w:color w:val="1A1A22"/>
          <w:sz w:val="21"/>
          <w:szCs w:val="21"/>
        </w:rPr>
        <w:t xml:space="preserve"> (no code change):</w:t>
      </w:r>
    </w:p>
    <w:tbl>
      <w:tblPr>
        <w:tblW w:type="dxa" w:w="9360"/>
        <w:tblBorders>
          <w:top w:val="single" w:color="C2C8DA" w:sz="2"/>
          <w:left w:val="single" w:color="C2C8DA" w:sz="2"/>
          <w:bottom w:val="single" w:color="C2C8DA" w:sz="2"/>
          <w:right w:val="single" w:color="C2C8DA" w:sz="2"/>
          <w:insideH w:val="single" w:color="D8DCE8" w:sz="2"/>
          <w:insideV w:val="single" w:color="D8DCE8" w:sz="2"/>
        </w:tblBorders>
      </w:tblPr>
      <w:tblGrid>
        <w:gridCol w:w="2600"/>
        <w:gridCol w:w="6760"/>
      </w:tblGrid>
      <w:tr>
        <w:trPr>
          <w:tblHeader/>
        </w:trPr>
        <w:tc>
          <w:tcPr>
            <w:tcW w:type="dxa" w:w="260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Knob</w:t>
            </w:r>
          </w:p>
        </w:tc>
        <w:tc>
          <w:tcPr>
            <w:tcW w:type="dxa" w:w="676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What it controls</w:t>
            </w:r>
          </w:p>
        </w:tc>
      </w:tr>
      <w:tr>
        <w:tc>
          <w:tcPr>
            <w:tcW w:type="dxa" w:w="26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reasoning.use_tools</w:t>
            </w:r>
          </w:p>
        </w:tc>
        <w:tc>
          <w:tcPr>
            <w:tcW w:type="dxa" w:w="67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true = the v2 agent (tools + loop); false = the v1 single-call narrator</w:t>
            </w:r>
          </w:p>
        </w:tc>
      </w:tr>
      <w:tr>
        <w:tc>
          <w:tcPr>
            <w:tcW w:type="dxa" w:w="26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reasoning.max_tool_calls</w:t>
            </w:r>
          </w:p>
        </w:tc>
        <w:tc>
          <w:tcPr>
            <w:tcW w:type="dxa" w:w="67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Investigation budget per store before the agent must conclude (default 8)</w:t>
            </w:r>
          </w:p>
        </w:tc>
      </w:tr>
      <w:tr>
        <w:tc>
          <w:tcPr>
            <w:tcW w:type="dxa" w:w="26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reasoning.max_store_cards</w:t>
            </w:r>
          </w:p>
        </w:tc>
        <w:tc>
          <w:tcPr>
            <w:tcW w:type="dxa" w:w="67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How many stores get the agentic diagnosis per run (default 12)</w:t>
            </w:r>
          </w:p>
        </w:tc>
      </w:tr>
      <w:tr>
        <w:tc>
          <w:tcPr>
            <w:tcW w:type="dxa" w:w="26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metrics.*  (is_rate, point/target bands)</w:t>
            </w:r>
          </w:p>
        </w:tc>
        <w:tc>
          <w:tcPr>
            <w:tcW w:type="dxa" w:w="67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Per-metric detection sensitivity + severity cutoffs (calibrated)</w:t>
            </w:r>
          </w:p>
        </w:tc>
      </w:tr>
      <w:tr>
        <w:tc>
          <w:tcPr>
            <w:tcW w:type="dxa" w:w="26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fsa.flag_below_target</w:t>
            </w:r>
          </w:p>
        </w:tc>
        <w:tc>
          <w:tcPr>
            <w:tcW w:type="dxa" w:w="67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false = flag food safety only below the 80 floor</w:t>
            </w:r>
          </w:p>
        </w:tc>
      </w:tr>
      <w:tr>
        <w:tc>
          <w:tcPr>
            <w:tcW w:type="dxa" w:w="26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correlation.min_stores / min_share / min_lift</w:t>
            </w:r>
          </w:p>
        </w:tc>
        <w:tc>
          <w:tcPr>
            <w:tcW w:type="dxa" w:w="67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strict bar for a systemic cluster (3 / 40% / 1.8×)</w:t>
            </w:r>
          </w:p>
        </w:tc>
      </w:tr>
      <w:tr>
        <w:tc>
          <w:tcPr>
            <w:tcW w:type="dxa" w:w="26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correlation.fallback / fallback_min_stores</w:t>
            </w:r>
          </w:p>
        </w:tc>
        <w:tc>
          <w:tcPr>
            <w:tcW w:type="dxa" w:w="67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Looser fallback when nothing clears the bar (≥3, marked “Possible”)</w:t>
            </w:r>
          </w:p>
        </w:tc>
      </w:tr>
      <w:tr>
        <w:tc>
          <w:tcPr>
            <w:tcW w:type="dxa" w:w="26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insights_export.*</w:t>
            </w:r>
          </w:p>
        </w:tc>
        <w:tc>
          <w:tcPr>
            <w:tcW w:type="dxa" w:w="67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SQLite table + CSV mirror the dashboard reads</w:t>
            </w:r>
          </w:p>
        </w:tc>
      </w:tr>
    </w:tbl>
    <w:p>
      <w:pPr>
        <w:pStyle w:val="Heading1"/>
        <w:spacing w:after="130" w:before="300"/>
      </w:pPr>
      <w:r>
        <w:rPr>
          <w:rFonts w:ascii="Calibri" w:cs="Calibri" w:eastAsia="Calibri" w:hAnsi="Calibri"/>
          <w:b/>
          <w:bCs/>
          <w:color w:val="1C0087"/>
          <w:sz w:val="28"/>
          <w:szCs w:val="28"/>
        </w:rPr>
        <w:t xml:space="preserve">10.  File-by-file map</w:t>
      </w:r>
    </w:p>
    <w:tbl>
      <w:tblPr>
        <w:tblW w:type="dxa" w:w="9360"/>
        <w:tblBorders>
          <w:top w:val="single" w:color="C2C8DA" w:sz="2"/>
          <w:left w:val="single" w:color="C2C8DA" w:sz="2"/>
          <w:bottom w:val="single" w:color="C2C8DA" w:sz="2"/>
          <w:right w:val="single" w:color="C2C8DA" w:sz="2"/>
          <w:insideH w:val="single" w:color="D8DCE8" w:sz="2"/>
          <w:insideV w:val="single" w:color="D8DCE8" w:sz="2"/>
        </w:tblBorders>
      </w:tblPr>
      <w:tblGrid>
        <w:gridCol w:w="2400"/>
        <w:gridCol w:w="6960"/>
      </w:tblGrid>
      <w:tr>
        <w:trPr>
          <w:tblHeader/>
        </w:trPr>
        <w:tc>
          <w:tcPr>
            <w:tcW w:type="dxa" w:w="240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File</w:t>
            </w:r>
          </w:p>
        </w:tc>
        <w:tc>
          <w:tcPr>
            <w:tcW w:type="dxa" w:w="696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Role</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agent.py</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Orchestrator: detection, enrichment, correlation (co-flag + cause-aware), routing helper, run_analysis</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agent_loop.py</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v2 investigation loop + store_diagnosis schema + system prompt</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tools.py</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10 read-only tools (analysis + raw-data doors)</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ground.py</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Validation + severity floor (ground / ground_agent)</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diagnose.py</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Deterministic per-metric diagnosis + severity (the fallback brain)</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evidence.py</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Per-store evidence packet: peer context, lead/lag, sub-scores</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data_connector.py</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single data door (CSV today → Fabric later); read-only guard; CSV write</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alert_store.py</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SQLite persistence: insights + insight_actions (feedback / auto-resolve)</w:t>
            </w:r>
          </w:p>
        </w:tc>
      </w:tr>
      <w:tr>
        <w:tc>
          <w:tcPr>
            <w:tcW w:type="dxa" w:w="24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config.py / prism_config.yaml</w:t>
            </w:r>
          </w:p>
        </w:tc>
        <w:tc>
          <w:tcPr>
            <w:tcW w:type="dxa" w:w="696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All tunable knobs</w:t>
            </w:r>
          </w:p>
        </w:tc>
      </w:tr>
      <w:tr>
        <w:tc>
          <w:tcPr>
            <w:tcW w:type="dxa" w:w="24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app.py / agent_ui.py</w:t>
            </w:r>
          </w:p>
        </w:tc>
        <w:tc>
          <w:tcPr>
            <w:tcW w:type="dxa" w:w="696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The Streamlit UI: cards, patterns, dispatch, Ask PRISM (only these import Streamlit)</w:t>
            </w:r>
          </w:p>
        </w:tc>
      </w:tr>
    </w:tbl>
    <w:p>
      <w:pPr>
        <w:pStyle w:val="Heading1"/>
        <w:spacing w:after="130" w:before="300"/>
      </w:pPr>
      <w:r>
        <w:rPr>
          <w:rFonts w:ascii="Calibri" w:cs="Calibri" w:eastAsia="Calibri" w:hAnsi="Calibri"/>
          <w:b/>
          <w:bCs/>
          <w:color w:val="1C0087"/>
          <w:sz w:val="28"/>
          <w:szCs w:val="28"/>
        </w:rPr>
        <w:t xml:space="preserve">11.  Guardrails — the trust model</w:t>
      </w:r>
    </w:p>
    <w:p>
      <w:pPr>
        <w:pStyle w:val="ListParagraph"/>
        <w:numPr>
          <w:ilvl w:val="0"/>
          <w:numId w:val="2"/>
        </w:numPr>
        <w:spacing w:after="80" w:line="272"/>
      </w:pPr>
      <w:r>
        <w:rPr>
          <w:rFonts w:ascii="Calibri" w:cs="Calibri" w:eastAsia="Calibri" w:hAnsi="Calibri"/>
          <w:color w:val="1A1A22"/>
          <w:sz w:val="21"/>
          <w:szCs w:val="21"/>
        </w:rPr>
        <w:t xml:space="preserve">Detection is deterministic — the data decides what's a problem, never the model.</w:t>
      </w:r>
    </w:p>
    <w:p>
      <w:pPr>
        <w:pStyle w:val="ListParagraph"/>
        <w:numPr>
          <w:ilvl w:val="0"/>
          <w:numId w:val="2"/>
        </w:numPr>
        <w:spacing w:after="80" w:line="272"/>
      </w:pPr>
      <w:r>
        <w:rPr>
          <w:rFonts w:ascii="Calibri" w:cs="Calibri" w:eastAsia="Calibri" w:hAnsi="Calibri"/>
          <w:color w:val="1A1A22"/>
          <w:sz w:val="21"/>
          <w:szCs w:val="21"/>
        </w:rPr>
        <w:t xml:space="preserve">Tools return measurements, never verdicts; the agent only uses numbers a tool returned.</w:t>
      </w:r>
    </w:p>
    <w:p>
      <w:pPr>
        <w:pStyle w:val="ListParagraph"/>
        <w:numPr>
          <w:ilvl w:val="0"/>
          <w:numId w:val="2"/>
        </w:numPr>
        <w:spacing w:after="80" w:line="272"/>
      </w:pPr>
      <w:r>
        <w:rPr>
          <w:rFonts w:ascii="Calibri" w:cs="Calibri" w:eastAsia="Calibri" w:hAnsi="Calibri"/>
          <w:color w:val="1A1A22"/>
          <w:sz w:val="21"/>
          <w:szCs w:val="21"/>
        </w:rPr>
        <w:t xml:space="preserve">The guard validates cited numbers and enforces a severity floor the AI can't undershoot.</w:t>
      </w:r>
    </w:p>
    <w:p>
      <w:pPr>
        <w:pStyle w:val="ListParagraph"/>
        <w:numPr>
          <w:ilvl w:val="0"/>
          <w:numId w:val="2"/>
        </w:numPr>
        <w:spacing w:after="80" w:line="272"/>
      </w:pPr>
      <w:r>
        <w:rPr>
          <w:rFonts w:ascii="Calibri" w:cs="Calibri" w:eastAsia="Calibri" w:hAnsi="Calibri"/>
          <w:color w:val="1A1A22"/>
          <w:sz w:val="21"/>
          <w:szCs w:val="21"/>
        </w:rPr>
        <w:t xml:space="preserve">The agent proposes the routing tier; the org table resolves the real person — no invented contacts.</w:t>
      </w:r>
    </w:p>
    <w:p>
      <w:pPr>
        <w:pStyle w:val="ListParagraph"/>
        <w:numPr>
          <w:ilvl w:val="0"/>
          <w:numId w:val="2"/>
        </w:numPr>
        <w:spacing w:after="80" w:line="272"/>
      </w:pPr>
      <w:r>
        <w:rPr>
          <w:rFonts w:ascii="Calibri" w:cs="Calibri" w:eastAsia="Calibri" w:hAnsi="Calibri"/>
          <w:color w:val="1A1A22"/>
          <w:sz w:val="21"/>
          <w:szCs w:val="21"/>
        </w:rPr>
        <w:t xml:space="preserve">Freedom scales with oversight: verified tools on the unattended card path; open SQL only in the human-reviewed “Ask PRISM” chat.</w:t>
      </w:r>
    </w:p>
    <w:p>
      <w:pPr>
        <w:pStyle w:val="ListParagraph"/>
        <w:numPr>
          <w:ilvl w:val="0"/>
          <w:numId w:val="2"/>
        </w:numPr>
        <w:spacing w:after="80" w:line="272"/>
      </w:pPr>
      <w:r>
        <w:rPr>
          <w:rFonts w:ascii="Calibri" w:cs="Calibri" w:eastAsia="Calibri" w:hAnsi="Calibri"/>
          <w:color w:val="1A1A22"/>
          <w:sz w:val="21"/>
          <w:szCs w:val="21"/>
        </w:rPr>
        <w:t xml:space="preserve">Safe fallback: if the agent is unavailable, PRISM falls back to the deterministic diagnosis.</w:t>
      </w:r>
    </w:p>
    <w:p>
      <w:pPr>
        <w:pStyle w:val="Heading1"/>
        <w:spacing w:after="130" w:before="300"/>
      </w:pPr>
      <w:r>
        <w:rPr>
          <w:rFonts w:ascii="Calibri" w:cs="Calibri" w:eastAsia="Calibri" w:hAnsi="Calibri"/>
          <w:b/>
          <w:bCs/>
          <w:color w:val="1C0087"/>
          <w:sz w:val="28"/>
          <w:szCs w:val="28"/>
        </w:rPr>
        <w:t xml:space="preserve">12.  Where it runs, and the path to production</w:t>
      </w:r>
    </w:p>
    <w:p>
      <w:pPr>
        <w:spacing w:after="50" w:before="12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14650"/>
                    </a:xfrm>
                    <a:prstGeom prst="rect">
                      <a:avLst/>
                    </a:prstGeom>
                  </pic:spPr>
                </pic:pic>
              </a:graphicData>
            </a:graphic>
          </wp:inline>
        </w:drawing>
      </w:r>
    </w:p>
    <w:p>
      <w:pPr>
        <w:spacing w:after="170"/>
        <w:jc w:val="center"/>
      </w:pPr>
      <w:r>
        <w:rPr>
          <w:rFonts w:ascii="Calibri" w:cs="Calibri" w:eastAsia="Calibri" w:hAnsi="Calibri"/>
          <w:i/>
          <w:iCs/>
          <w:color w:val="44444F"/>
          <w:sz w:val="17"/>
          <w:szCs w:val="17"/>
        </w:rPr>
        <w:t xml:space="preserve">Figure 8 — The layers. Build now over CSVs; the semantic layer slots in beneath the tools on Fabric.</w:t>
      </w:r>
    </w:p>
    <w:p>
      <w:pPr>
        <w:spacing w:after="120" w:before="0" w:line="276"/>
      </w:pPr>
      <w:r>
        <w:rPr>
          <w:rFonts w:ascii="Calibri" w:cs="Calibri" w:eastAsia="Calibri" w:hAnsi="Calibri"/>
          <w:color w:val="1A1A22"/>
          <w:sz w:val="21"/>
          <w:szCs w:val="21"/>
        </w:rPr>
        <w:t xml:space="preserve">Today PRISM runs on local CSVs. In production, </w:t>
      </w:r>
      <w:r>
        <w:rPr>
          <w:rFonts w:ascii="Calibri" w:cs="Calibri" w:eastAsia="Calibri" w:hAnsi="Calibri"/>
          <w:color w:val="0C447C"/>
          <w:sz w:val="19"/>
          <w:szCs w:val="19"/>
        </w:rPr>
        <w:t xml:space="preserve">data_connector</w:t>
      </w:r>
      <w:r>
        <w:rPr>
          <w:rFonts w:ascii="Calibri" w:cs="Calibri" w:eastAsia="Calibri" w:hAnsi="Calibri"/>
          <w:color w:val="1A1A22"/>
          <w:sz w:val="21"/>
          <w:szCs w:val="21"/>
        </w:rPr>
        <w:t xml:space="preserve"> repoints at Microsoft Fabric, the reasoning model moves to Azure OpenAI in-tenant, Power BI reads the insights table (with row-level security by owner/region), and a semantic layer under the tools makes PRISM and the dashboards share one definition of truth — the agent loop above does not change.</w:t>
      </w:r>
    </w:p>
    <w:p>
      <w:pPr>
        <w:pStyle w:val="Heading1"/>
        <w:spacing w:after="130" w:before="300"/>
      </w:pPr>
      <w:r>
        <w:rPr>
          <w:rFonts w:ascii="Calibri" w:cs="Calibri" w:eastAsia="Calibri" w:hAnsi="Calibri"/>
          <w:b/>
          <w:bCs/>
          <w:color w:val="1C0087"/>
          <w:sz w:val="28"/>
          <w:szCs w:val="28"/>
        </w:rPr>
        <w:t xml:space="preserve">13.  v1 vs v2 — at a glance</w:t>
      </w:r>
    </w:p>
    <w:tbl>
      <w:tblPr>
        <w:tblW w:type="dxa" w:w="9360"/>
        <w:tblBorders>
          <w:top w:val="single" w:color="C2C8DA" w:sz="2"/>
          <w:left w:val="single" w:color="C2C8DA" w:sz="2"/>
          <w:bottom w:val="single" w:color="C2C8DA" w:sz="2"/>
          <w:right w:val="single" w:color="C2C8DA" w:sz="2"/>
          <w:insideH w:val="single" w:color="D8DCE8" w:sz="2"/>
          <w:insideV w:val="single" w:color="D8DCE8" w:sz="2"/>
        </w:tblBorders>
      </w:tblPr>
      <w:tblGrid>
        <w:gridCol w:w="2300"/>
        <w:gridCol w:w="3530"/>
        <w:gridCol w:w="3530"/>
      </w:tblGrid>
      <w:tr>
        <w:trPr>
          <w:tblHeader/>
        </w:trPr>
        <w:tc>
          <w:tcPr>
            <w:tcW w:type="dxa" w:w="230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Dimension</w:t>
            </w:r>
          </w:p>
        </w:tc>
        <w:tc>
          <w:tcPr>
            <w:tcW w:type="dxa" w:w="353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v1 (narrator)</w:t>
            </w:r>
          </w:p>
        </w:tc>
        <w:tc>
          <w:tcPr>
            <w:tcW w:type="dxa" w:w="3530"/>
            <w:shd w:fill="1C0087" w:color="auto" w:val="clear"/>
            <w:tcMar>
              <w:top w:type="dxa" w:w="60"/>
              <w:left w:type="dxa" w:w="100"/>
              <w:bottom w:type="dxa" w:w="60"/>
              <w:right w:type="dxa" w:w="100"/>
            </w:tcMar>
          </w:tcPr>
          <w:p>
            <w:pPr>
              <w:spacing w:after="0" w:line="260"/>
            </w:pPr>
            <w:r>
              <w:rPr>
                <w:rFonts w:ascii="Calibri" w:cs="Calibri" w:eastAsia="Calibri" w:hAnsi="Calibri"/>
                <w:b/>
                <w:bCs/>
                <w:color w:val="FFFFFF"/>
                <w:sz w:val="18"/>
                <w:szCs w:val="18"/>
              </w:rPr>
              <w:t xml:space="preserve">v2 (agent)</w:t>
            </w:r>
          </w:p>
        </w:tc>
      </w:tr>
      <w:tr>
        <w:tc>
          <w:tcPr>
            <w:tcW w:type="dxa" w:w="23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Diagnosis</w:t>
            </w:r>
          </w:p>
        </w:tc>
        <w:tc>
          <w:tcPr>
            <w:tcW w:type="dxa" w:w="353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Narrates a fixed packet</w:t>
            </w:r>
          </w:p>
        </w:tc>
        <w:tc>
          <w:tcPr>
            <w:tcW w:type="dxa" w:w="353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Investigates with tools, proves each claim</w:t>
            </w:r>
          </w:p>
        </w:tc>
      </w:tr>
      <w:tr>
        <w:tc>
          <w:tcPr>
            <w:tcW w:type="dxa" w:w="23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Data access</w:t>
            </w:r>
          </w:p>
        </w:tc>
        <w:tc>
          <w:tcPr>
            <w:tcW w:type="dxa" w:w="353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None (sees a summary)</w:t>
            </w:r>
          </w:p>
        </w:tc>
        <w:tc>
          <w:tcPr>
            <w:tcW w:type="dxa" w:w="353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Verified tool doors (measurements + raw rows)</w:t>
            </w:r>
          </w:p>
        </w:tc>
      </w:tr>
      <w:tr>
        <w:tc>
          <w:tcPr>
            <w:tcW w:type="dxa" w:w="23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Card</w:t>
            </w:r>
          </w:p>
        </w:tc>
        <w:tc>
          <w:tcPr>
            <w:tcW w:type="dxa" w:w="353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Text-heavy paragraph</w:t>
            </w:r>
          </w:p>
        </w:tc>
        <w:tc>
          <w:tcPr>
            <w:tcW w:type="dxa" w:w="353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Glanceable: number, sparkline, peer bars, one action</w:t>
            </w:r>
          </w:p>
        </w:tc>
      </w:tr>
      <w:tr>
        <w:tc>
          <w:tcPr>
            <w:tcW w:type="dxa" w:w="23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Multiple problems</w:t>
            </w:r>
          </w:p>
        </w:tc>
        <w:tc>
          <w:tcPr>
            <w:tcW w:type="dxa" w:w="353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One forced narrative</w:t>
            </w:r>
          </w:p>
        </w:tc>
        <w:tc>
          <w:tcPr>
            <w:tcW w:type="dxa" w:w="353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Primary + independent secondary issues</w:t>
            </w:r>
          </w:p>
        </w:tc>
      </w:tr>
      <w:tr>
        <w:tc>
          <w:tcPr>
            <w:tcW w:type="dxa" w:w="23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Correlation</w:t>
            </w:r>
          </w:p>
        </w:tc>
        <w:tc>
          <w:tcPr>
            <w:tcW w:type="dxa" w:w="353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Co-flagging by hierarchy</w:t>
            </w:r>
          </w:p>
        </w:tc>
        <w:tc>
          <w:tcPr>
            <w:tcW w:type="dxa" w:w="353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Shared-cause clusters (count · share · lift)</w:t>
            </w:r>
          </w:p>
        </w:tc>
      </w:tr>
      <w:tr>
        <w:tc>
          <w:tcPr>
            <w:tcW w:type="dxa" w:w="230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Routing</w:t>
            </w:r>
          </w:p>
        </w:tc>
        <w:tc>
          <w:tcPr>
            <w:tcW w:type="dxa" w:w="353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Fixed owner + RVP</w:t>
            </w:r>
          </w:p>
        </w:tc>
        <w:tc>
          <w:tcPr>
            <w:tcW w:type="dxa" w:w="3530"/>
            <w:shd w:fill="F4F6FB"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By cause + level; escalates; per-issue</w:t>
            </w:r>
          </w:p>
        </w:tc>
      </w:tr>
      <w:tr>
        <w:tc>
          <w:tcPr>
            <w:tcW w:type="dxa" w:w="230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Trust</w:t>
            </w:r>
          </w:p>
        </w:tc>
        <w:tc>
          <w:tcPr>
            <w:tcW w:type="dxa" w:w="353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Confident essay</w:t>
            </w:r>
          </w:p>
        </w:tc>
        <w:tc>
          <w:tcPr>
            <w:tcW w:type="dxa" w:w="3530"/>
            <w:shd w:fill="FFFFFF" w:color="auto" w:val="clear"/>
            <w:tcMar>
              <w:top w:type="dxa" w:w="60"/>
              <w:left w:type="dxa" w:w="100"/>
              <w:bottom w:type="dxa" w:w="60"/>
              <w:right w:type="dxa" w:w="100"/>
            </w:tcMar>
          </w:tcPr>
          <w:p>
            <w:pPr>
              <w:spacing w:after="0" w:line="260"/>
            </w:pPr>
            <w:r>
              <w:rPr>
                <w:rFonts w:ascii="Calibri" w:cs="Calibri" w:eastAsia="Calibri" w:hAnsi="Calibri"/>
                <w:color w:val="1A1A22"/>
                <w:sz w:val="18"/>
                <w:szCs w:val="18"/>
              </w:rPr>
              <w:t xml:space="preserve">Evidence file — auditable, reproducible</w:t>
            </w:r>
          </w:p>
        </w:tc>
      </w:tr>
    </w:tbl>
    <w:p>
      <w:pPr>
        <w:spacing w:after="120"/>
      </w:pPr>
      <w:r>
        <w:rPr>
          <w:rFonts w:ascii="Calibri" w:cs="Calibri" w:eastAsia="Calibri" w:hAnsi="Calibri"/>
          <w:color w:val="1A1A22"/>
          <w:sz w:val="21"/>
          <w:szCs w:val="21"/>
        </w:rPr>
        <w:t xml:space="preserve"/>
      </w:r>
    </w:p>
    <w:p>
      <w:pPr>
        <w:spacing w:after="120" w:before="0" w:line="276"/>
      </w:pPr>
      <w:r>
        <w:rPr>
          <w:rFonts w:ascii="Calibri" w:cs="Calibri" w:eastAsia="Calibri" w:hAnsi="Calibri"/>
          <w:b/>
          <w:bCs/>
          <w:color w:val="1A1A22"/>
          <w:sz w:val="21"/>
          <w:szCs w:val="21"/>
        </w:rPr>
        <w:t xml:space="preserve">Bottom line: </w:t>
      </w:r>
      <w:r>
        <w:rPr>
          <w:rFonts w:ascii="Calibri" w:cs="Calibri" w:eastAsia="Calibri" w:hAnsi="Calibri"/>
          <w:i/>
          <w:iCs/>
          <w:color w:val="1A1A22"/>
          <w:sz w:val="21"/>
          <w:szCs w:val="21"/>
        </w:rPr>
        <w:t xml:space="preserve">v2 makes PRISM an actual analyst — the promise “the data decides, every number checked” becomes literally true, with each claim earned rather than asserted.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F"/>
        <w:sz w:val="16"/>
        <w:szCs w:val="16"/>
      </w:rPr>
      <w:t xml:space="preserve">PRISM v2 — Technical Reference    ·    </w:t>
    </w:r>
    <w:r>
      <w:rPr>
        <w:rFonts w:ascii="Calibri" w:cs="Calibri" w:eastAsia="Calibri" w:hAnsi="Calibri"/>
        <w:color w:val="4444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86E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C0087"/>
      <w:sz w:val="28"/>
      <w:szCs w:val="28"/>
    </w:rPr>
  </w:style>
  <w:style w:type="paragraph" w:styleId="Heading2">
    <w:name w:val="Heading 2"/>
    <w:basedOn w:val="Normal"/>
    <w:next w:val="Normal"/>
    <w:qFormat/>
    <w:rPr>
      <w:b/>
      <w:bCs/>
      <w:color w:val="1C008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9b1e84c4b27c1cb78c5213e76b568d2b11301b2.png"/><Relationship Id="rId9" Type="http://schemas.openxmlformats.org/officeDocument/2006/relationships/image" Target="media/9980f570a12bbde93dd0056e3f3f5f805ca06bcb.png"/><Relationship Id="rId10" Type="http://schemas.openxmlformats.org/officeDocument/2006/relationships/image" Target="media/1830ff2c64beba08a95776beff0452c805d4eecf.png"/><Relationship Id="rId11" Type="http://schemas.openxmlformats.org/officeDocument/2006/relationships/image" Target="media/11252f39993864b68dc165fc5438664d34158811.png"/><Relationship Id="rId12" Type="http://schemas.openxmlformats.org/officeDocument/2006/relationships/image" Target="media/67c56ae94f2968cd5168c96f673bceeafac96a57.png"/><Relationship Id="rId13" Type="http://schemas.openxmlformats.org/officeDocument/2006/relationships/image" Target="media/d874a7b7141aa0508caae9592d2a3bbb3b3b5c91.png"/><Relationship Id="rId14" Type="http://schemas.openxmlformats.org/officeDocument/2006/relationships/image" Target="media/3078671b18e54ee9fba729df328236d3ff2d7cbd.png"/><Relationship Id="rId15" Type="http://schemas.openxmlformats.org/officeDocument/2006/relationships/image" Target="media/78ab94a486b6cbb0b2df77ebdd896e876b62fc3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2026-07-16T18:57:46.390Z</dcterms:created>
  <dcterms:modified xsi:type="dcterms:W3CDTF">2026-07-16T18:57:46.397Z</dcterms:modified>
</cp:coreProperties>
</file>

<file path=docProps/custom.xml><?xml version="1.0" encoding="utf-8"?>
<Properties xmlns="http://schemas.openxmlformats.org/officeDocument/2006/custom-properties" xmlns:vt="http://schemas.openxmlformats.org/officeDocument/2006/docPropsVTypes"/>
</file>