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PulpSense Forecasting Model: Build Specification</w:t>
      </w:r>
    </w:p>
    <w:p>
      <w:pPr/>
      <w:r>
        <w:rPr>
          <w:i/>
        </w:rPr>
        <w:t xml:space="preserve">Instructions for a Claude instance that has the PS1 problem statement and the sample CSVs. Prepared 25 October 2026. Companion to the Raw-Material Supply Risk Register handoff.</w:t>
      </w:r>
    </w:p>
    <w:p>
      <w:pPr>
        <w:pStyle w:val="Heading2"/>
      </w:pPr>
      <w:r>
        <w:t xml:space="preserve">0. Purpose and scope</w:t>
      </w:r>
    </w:p>
    <w:p>
      <w:pPr/>
      <w:r>
        <w:t xml:space="preserve">PulpSense needs forecasting that serves two decisions: how much pulp and finished stock to hold ahead of peak, and how early the model notices a demand shift. Demand is not one of our two deep-dive modules (Supply and Inventory are), so forecasting is built at </w:t>
      </w:r>
      <w:r>
        <w:rPr>
          <w:b/>
        </w:rPr>
        <w:t xml:space="preserve">signal-layer depth</w:t>
      </w:r>
      <w:r>
        <w:t xml:space="preserve">: enough to drive the material balance, the depot cover logic and the scenario replay, not a full demand-planning system.</w:t>
      </w:r>
    </w:p>
    <w:p>
      <w:pPr/>
      <w:r>
        <w:t xml:space="preserve">The forecasting failure in the case was </w:t>
      </w:r>
      <w:r>
        <w:rPr>
          <w:b/>
        </w:rPr>
        <w:t xml:space="preserve">latency and blindness</w:t>
      </w:r>
      <w:r>
        <w:t xml:space="preserve">, not only error size. Forecasts updated monthly, planners received consolidated sales at month-end (F27, F30), and they saw the viral spike only after trade reported shortages (F54). The 30% flavor-depot error (F28) made it worse. The design therefore has two layers plus a depot split.</w:t>
      </w:r>
    </w:p>
    <w:p>
      <w:pPr/>
      <w:r>
        <w:rPr>
          <w:b/>
        </w:rPr>
        <w:t xml:space="preserve">Do not claim forecast accuracy.</w:t>
      </w:r>
      <w:r>
        <w:t xml:space="preserve"> The sample data is synthetic and cannot validate it. The honest evidence is detection lead time in the scenario replay, plus tests on injected scenarios.</w:t>
      </w:r>
    </w:p>
    <w:p>
      <w:pPr>
        <w:pStyle w:val="Heading2"/>
      </w:pPr>
      <w:r>
        <w:t xml:space="preserve">1. Ground rules</w:t>
      </w:r>
    </w:p>
    <w:p>
      <w:pPr>
        <w:pStyle w:val="ListParagraph"/>
        <w:numPr>
          <w:ilvl w:val="0"/>
          <w:numId w:val="2"/>
        </w:numPr>
      </w:pPr>
      <w:r>
        <w:t xml:space="preserve">Keep case facts (Given) separate from assumptions (Assumed) and derived values (Derived). Every table, parameter and slide label should carry that tag.</w:t>
      </w:r>
    </w:p>
    <w:p>
      <w:pPr>
        <w:pStyle w:val="ListParagraph"/>
        <w:numPr>
          <w:ilvl w:val="0"/>
          <w:numId w:val="2"/>
        </w:numPr>
      </w:pPr>
      <w:r>
        <w:t xml:space="preserve">Every recommendation is a </w:t>
      </w:r>
      <w:r>
        <w:rPr>
          <w:b/>
        </w:rPr>
        <w:t xml:space="preserve">review candidate</w:t>
      </w:r>
      <w:r>
        <w:t xml:space="preserve"> needing human approval (F71). Nothing is auto-executed.</w:t>
      </w:r>
    </w:p>
    <w:p>
      <w:pPr>
        <w:pStyle w:val="ListParagraph"/>
        <w:numPr>
          <w:ilvl w:val="0"/>
          <w:numId w:val="2"/>
        </w:numPr>
      </w:pPr>
      <w:r>
        <w:t xml:space="preserve">Respect the constraints: ₹2.5 crore first-year budget, vendor-run IT, 15 planners in spreadsheets, no data or AI team (F63–F66, F69). Prefer methods a planner can follow and a vendor can maintain. No black-box models.</w:t>
      </w:r>
    </w:p>
    <w:p>
      <w:pPr>
        <w:pStyle w:val="ListParagraph"/>
        <w:numPr>
          <w:ilvl w:val="0"/>
          <w:numId w:val="2"/>
        </w:numPr>
      </w:pPr>
      <w:r>
        <w:t xml:space="preserve">No general-trade outlet data exists (F70). Do not invent it.</w:t>
      </w:r>
    </w:p>
    <w:p>
      <w:pPr>
        <w:pStyle w:val="ListParagraph"/>
        <w:numPr>
          <w:ilvl w:val="0"/>
          <w:numId w:val="2"/>
        </w:numPr>
      </w:pPr>
      <w:r>
        <w:t xml:space="preserve">Do not fabricate substitution rates, avoided savings or shipment ETAs.</w:t>
      </w:r>
    </w:p>
    <w:p>
      <w:pPr>
        <w:pStyle w:val="Heading2"/>
      </w:pPr>
      <w:r>
        <w:t xml:space="preserve">2. Data you have and what each file gives you</w:t>
      </w:r>
    </w:p>
    <w:tbl>
      <w:tblPr>
        <w:tblStyle w:val="TableGrid"/>
        <w:tblW w:w="0" w:type="auto"/>
        <w:tblLayout w:type="fixed"/>
        <w:tblLook w:val="04A0" w:firstRow="1" w:lastRow="0" w:firstColumn="0" w:lastColumn="0" w:noHBand="0" w:noVBand="1"/>
      </w:tblPr>
      <w:tblGrid>
        <w:gridCol w:w="2876"/>
        <w:gridCol w:w="2914"/>
        <w:gridCol w:w="3570"/>
      </w:tblGrid>
      <w:tr>
        <w:trPr>
          <w:tblHeader/>
        </w:trPr>
        <w:tc>
          <w:tcPr>
            <w:tcW w:w="2876" w:type="dxa"/>
            <w:shd w:val="clear" w:color="auto" w:fill="F2F2F2"/>
          </w:tcPr>
          <w:p>
            <w:pPr/>
            <w:r>
              <w:t xml:space="preserve">File</w:t>
            </w:r>
          </w:p>
        </w:tc>
        <w:tc>
          <w:tcPr>
            <w:tcW w:w="2914" w:type="dxa"/>
            <w:shd w:val="clear" w:color="auto" w:fill="F2F2F2"/>
          </w:tcPr>
          <w:p>
            <w:pPr/>
            <w:r>
              <w:t xml:space="preserve">Use in forecasting</w:t>
            </w:r>
          </w:p>
        </w:tc>
        <w:tc>
          <w:tcPr>
            <w:tcW w:w="3570" w:type="dxa"/>
            <w:shd w:val="clear" w:color="auto" w:fill="F2F2F2"/>
          </w:tcPr>
          <w:p>
            <w:pPr/>
            <w:r>
              <w:t xml:space="preserve">Caveat</w:t>
            </w:r>
          </w:p>
        </w:tc>
      </w:tr>
      <w:tr>
        <w:tc>
          <w:tcPr>
            <w:tcW w:w="2876" w:type="dxa"/>
          </w:tcPr>
          <w:p>
            <w:pPr/>
            <w:r>
              <w:rPr>
                <w:rStyle w:val="CodeChar"/>
              </w:rPr>
              <w:t xml:space="preserve">demand_daily.csv</w:t>
            </w:r>
            <w:r>
              <w:t xml:space="preserve"> (date, depot_id, channel_id, flavor_id, units)</w:t>
            </w:r>
          </w:p>
        </w:tc>
        <w:tc>
          <w:tcPr>
            <w:tcW w:w="2914" w:type="dxa"/>
          </w:tcPr>
          <w:p>
            <w:pPr/>
            <w:r>
              <w:t xml:space="preserve">Daily sales history, 1 Mar to 30 Jun 2026, 9 depots × 3 channels × 5 flavors</w:t>
            </w:r>
          </w:p>
        </w:tc>
        <w:tc>
          <w:tcPr>
            <w:tcW w:w="3570" w:type="dxa"/>
          </w:tcPr>
          <w:p>
            <w:pPr/>
            <w:r>
              <w:t xml:space="preserve">It is </w:t>
            </w:r>
            <w:r>
              <w:rPr>
                <w:b/>
              </w:rPr>
              <w:t xml:space="preserve">sales, not demand</w:t>
            </w:r>
            <w:r>
              <w:t xml:space="preserve">. PP and DP run at 30% of normal from 25 May to 14 Jun (A21). Non-DP flavors look flat day to day with equal depots (A11); verify before relying on any pattern.</w:t>
            </w:r>
          </w:p>
        </w:tc>
      </w:tr>
      <w:tr>
        <w:tc>
          <w:tcPr>
            <w:tcW w:w="2876" w:type="dxa"/>
          </w:tcPr>
          <w:p>
            <w:pPr/>
            <w:r>
              <w:rPr>
                <w:rStyle w:val="CodeChar"/>
              </w:rPr>
              <w:t xml:space="preserve">inventory_snapshot.csv</w:t>
            </w:r>
            <w:r>
              <w:t xml:space="preserve"> (weekly, per depot and flavor)</w:t>
            </w:r>
          </w:p>
        </w:tc>
        <w:tc>
          <w:tcPr>
            <w:tcW w:w="2914" w:type="dxa"/>
          </w:tcPr>
          <w:p>
            <w:pPr/>
            <w:r>
              <w:t xml:space="preserve">On-hand units, days of cover, stock status; also a </w:t>
            </w:r>
            <w:r>
              <w:rPr>
                <w:rStyle w:val="CodeChar"/>
              </w:rPr>
              <w:t xml:space="preserve">PULP_PASSION</w:t>
            </w:r>
            <w:r>
              <w:t xml:space="preserve"> row type</w:t>
            </w:r>
          </w:p>
        </w:tc>
        <w:tc>
          <w:tcPr>
            <w:tcW w:w="3570" w:type="dxa"/>
          </w:tcPr>
          <w:p>
            <w:pPr/>
            <w:r>
              <w:t xml:space="preserve">Weekly only. Includes assumed values. PP depot stock drops to 0 on 25 May, too abruptly (see section 9).</w:t>
            </w:r>
          </w:p>
        </w:tc>
      </w:tr>
      <w:tr>
        <w:tc>
          <w:tcPr>
            <w:tcW w:w="2876" w:type="dxa"/>
          </w:tcPr>
          <w:p>
            <w:pPr/>
            <w:r>
              <w:rPr>
                <w:rStyle w:val="CodeChar"/>
              </w:rPr>
              <w:t xml:space="preserve">events.csv</w:t>
            </w:r>
          </w:p>
        </w:tc>
        <w:tc>
          <w:tcPr>
            <w:tcW w:w="2914" w:type="dxa"/>
          </w:tcPr>
          <w:p>
            <w:pPr/>
            <w:r>
              <w:t xml:space="preserve">Launch (2 Mar), spike start (16 Mar), peak (30 Mar), planners see data (31 Mar), closure dates</w:t>
            </w:r>
          </w:p>
        </w:tc>
        <w:tc>
          <w:tcPr>
            <w:tcW w:w="3570" w:type="dxa"/>
          </w:tcPr>
          <w:p>
            <w:pPr/>
            <w:r>
              <w:t xml:space="preserve">Several dates are Assumed or Derived. Use only to align the replay.</w:t>
            </w:r>
          </w:p>
        </w:tc>
      </w:tr>
      <w:tr>
        <w:tc>
          <w:tcPr>
            <w:tcW w:w="2876" w:type="dxa"/>
          </w:tcPr>
          <w:p>
            <w:pPr/>
            <w:r>
              <w:rPr>
                <w:rStyle w:val="CodeChar"/>
              </w:rPr>
              <w:t xml:space="preserve">products.csv</w:t>
            </w:r>
            <w:r>
              <w:t xml:space="preserve">, </w:t>
            </w:r>
            <w:r>
              <w:rPr>
                <w:rStyle w:val="CodeChar"/>
              </w:rPr>
              <w:t xml:space="preserve">channels.csv</w:t>
            </w:r>
            <w:r>
              <w:t xml:space="preserve">, </w:t>
            </w:r>
            <w:r>
              <w:rPr>
                <w:rStyle w:val="CodeChar"/>
              </w:rPr>
              <w:t xml:space="preserve">bom.csv</w:t>
            </w:r>
          </w:p>
        </w:tc>
        <w:tc>
          <w:tcPr>
            <w:tcW w:w="2914" w:type="dxa"/>
          </w:tcPr>
          <w:p>
            <w:pPr/>
            <w:r>
              <w:t xml:space="preserve">Flavor shares, shelf life, channel shares and shelf-life cutoffs, ingredient links</w:t>
            </w:r>
          </w:p>
        </w:tc>
        <w:tc>
          <w:tcPr>
            <w:tcW w:w="3570" w:type="dxa"/>
          </w:tcPr>
          <w:p>
            <w:pPr/>
            <w:r>
              <w:t xml:space="preserve">BOM shares for MPB and DP are blank (G05, G06). Recipe is an assumption.</w:t>
            </w:r>
          </w:p>
        </w:tc>
      </w:tr>
      <w:tr>
        <w:tc>
          <w:tcPr>
            <w:tcW w:w="2876" w:type="dxa"/>
          </w:tcPr>
          <w:p>
            <w:pPr/>
            <w:r>
              <w:rPr>
                <w:rStyle w:val="CodeChar"/>
              </w:rPr>
              <w:t xml:space="preserve">nodes.csv</w:t>
            </w:r>
            <w:r>
              <w:t xml:space="preserve">, </w:t>
            </w:r>
            <w:r>
              <w:rPr>
                <w:rStyle w:val="CodeChar"/>
              </w:rPr>
              <w:t xml:space="preserve">edges.csv</w:t>
            </w:r>
          </w:p>
        </w:tc>
        <w:tc>
          <w:tcPr>
            <w:tcW w:w="2914" w:type="dxa"/>
          </w:tcPr>
          <w:p>
            <w:pPr/>
            <w:r>
              <w:t xml:space="preserve">Depots, regions, cover targets (21 days), reporting frequencies and lags</w:t>
            </w:r>
          </w:p>
        </w:tc>
        <w:tc>
          <w:tcPr>
            <w:tcW w:w="3570" w:type="dxa"/>
          </w:tcPr>
          <w:p>
            <w:pPr/>
            <w:r>
              <w:t xml:space="preserve">Region and depot names are assumed (A03). Plant-to-depot and dark-store-to-depot links are not given (G02).</w:t>
            </w:r>
          </w:p>
        </w:tc>
      </w:tr>
      <w:tr>
        <w:tc>
          <w:tcPr>
            <w:tcW w:w="2876" w:type="dxa"/>
          </w:tcPr>
          <w:p>
            <w:pPr/>
            <w:r>
              <w:rPr>
                <w:rStyle w:val="CodeChar"/>
              </w:rPr>
              <w:t xml:space="preserve">Case_Facts</w:t>
            </w:r>
            <w:r>
              <w:t xml:space="preserve">, </w:t>
            </w:r>
            <w:r>
              <w:rPr>
                <w:rStyle w:val="CodeChar"/>
              </w:rPr>
              <w:t xml:space="preserve">Assumptions</w:t>
            </w:r>
            <w:r>
              <w:t xml:space="preserve">, </w:t>
            </w:r>
            <w:r>
              <w:rPr>
                <w:rStyle w:val="CodeChar"/>
              </w:rPr>
              <w:t xml:space="preserve">Gaps</w:t>
            </w:r>
            <w:r>
              <w:t xml:space="preserve">, </w:t>
            </w:r>
            <w:r>
              <w:rPr>
                <w:rStyle w:val="CodeChar"/>
              </w:rPr>
              <w:t xml:space="preserve">Consistency_Checks</w:t>
            </w:r>
          </w:p>
        </w:tc>
        <w:tc>
          <w:tcPr>
            <w:tcW w:w="2914" w:type="dxa"/>
          </w:tcPr>
          <w:p>
            <w:pPr/>
            <w:r>
              <w:t xml:space="preserve">Anchor values: 9.6 crore summer bottles, shares, 30% error, lead times</w:t>
            </w:r>
          </w:p>
        </w:tc>
        <w:tc>
          <w:tcPr>
            <w:tcW w:w="3570" w:type="dxa"/>
          </w:tcPr>
          <w:p>
            <w:pPr/>
            <w:r>
              <w:t xml:space="preserve">Use fact IDs (F##) in every output for traceability.</w:t>
            </w:r>
          </w:p>
        </w:tc>
      </w:tr>
    </w:tbl>
    <w:p>
      <w:pPr/>
      <w:r>
        <w:t xml:space="preserve">Important: the sample has </w:t>
      </w:r>
      <w:r>
        <w:rPr>
          <w:b/>
        </w:rPr>
        <w:t xml:space="preserve">no prior-year history</w:t>
      </w:r>
      <w:r>
        <w:t xml:space="preserve">. A conventional seasonal model cannot be fitted. The baseline level must come from the case (see section 3).</w:t>
      </w:r>
    </w:p>
    <w:p>
      <w:pPr>
        <w:pStyle w:val="Heading2"/>
      </w:pPr>
      <w:r>
        <w:t xml:space="preserve">3. Layer 1: baseline forecast (slow, simple, explainable)</w:t>
      </w:r>
    </w:p>
    <w:p>
      <w:pPr/>
      <w:r>
        <w:rPr>
          <w:b/>
        </w:rPr>
        <w:t xml:space="preserve">Goal:</w:t>
      </w:r>
      <w:r>
        <w:t xml:space="preserve"> size pulp orders and depot cover targets. It is not meant to detect shocks.</w:t>
      </w:r>
    </w:p>
    <w:p>
      <w:pPr>
        <w:pStyle w:val="Heading3"/>
      </w:pPr>
      <w:r>
        <w:t xml:space="preserve">3.1 Baseline level</w:t>
      </w:r>
    </w:p>
    <w:p>
      <w:pPr>
        <w:pStyle w:val="ListParagraph"/>
        <w:numPr>
          <w:ilvl w:val="0"/>
          <w:numId w:val="3"/>
        </w:numPr>
      </w:pPr>
      <w:r>
        <w:t xml:space="preserve">Start from the case-calibrated plan: 9.6 crore summer bottles (F31), split evenly across March to June (A10), by flavor share (F09–F13) and channel share (F23–F25). Equal depot weights (A11) until real depot data replaces them.</w:t>
      </w:r>
    </w:p>
    <w:p>
      <w:pPr>
        <w:pStyle w:val="ListParagraph"/>
        <w:numPr>
          <w:ilvl w:val="0"/>
          <w:numId w:val="3"/>
        </w:numPr>
      </w:pPr>
      <w:r>
        <w:t xml:space="preserve">Keep an </w:t>
      </w:r>
      <w:r>
        <w:rPr>
          <w:rStyle w:val="CodeChar"/>
        </w:rPr>
        <w:t xml:space="preserve">as_of</w:t>
      </w:r>
      <w:r>
        <w:t xml:space="preserve"> date and rebuild weekly when new sales arrive: blend the plan with the trailing run-rate (for example exponential smoothing on weekly sales, weight chosen by the user), with an explicit </w:t>
      </w:r>
      <w:r>
        <w:rPr>
          <w:b/>
        </w:rPr>
        <w:t xml:space="preserve">stock-out flag</w:t>
      </w:r>
      <w:r>
        <w:t xml:space="preserve"> so censored days are excluded.</w:t>
      </w:r>
    </w:p>
    <w:p>
      <w:pPr>
        <w:pStyle w:val="ListParagraph"/>
        <w:numPr>
          <w:ilvl w:val="0"/>
          <w:numId w:val="3"/>
        </w:numPr>
      </w:pPr>
      <w:r>
        <w:t xml:space="preserve">Add known events from a </w:t>
      </w:r>
      <w:r>
        <w:rPr>
          <w:b/>
        </w:rPr>
        <w:t xml:space="preserve">calendar table</w:t>
      </w:r>
      <w:r>
        <w:t xml:space="preserve">: launches, promotions, season boundaries. Events are inputs, not guesses.</w:t>
      </w:r>
    </w:p>
    <w:p>
      <w:pPr>
        <w:pStyle w:val="Heading3"/>
      </w:pPr>
      <w:r>
        <w:t xml:space="preserve">3.2 Forecast ranges, not points</w:t>
      </w:r>
    </w:p>
    <w:p>
      <w:pPr>
        <w:pStyle w:val="ListParagraph"/>
        <w:numPr>
          <w:ilvl w:val="0"/>
          <w:numId w:val="4"/>
        </w:numPr>
      </w:pPr>
      <w:r>
        <w:t xml:space="preserve">Output quantiles P10, P50, P80, P90 for each flavor and horizon.</w:t>
      </w:r>
    </w:p>
    <w:p>
      <w:pPr>
        <w:pStyle w:val="ListParagraph"/>
        <w:numPr>
          <w:ilvl w:val="0"/>
          <w:numId w:val="4"/>
        </w:numPr>
      </w:pPr>
      <w:r>
        <w:t xml:space="preserve">Use the case's 30% flavor-depot error (F28) as the starting error at that granularity. At national level, error is smaller, but by how much is an </w:t>
      </w:r>
      <w:r>
        <w:rPr>
          <w:b/>
        </w:rPr>
        <w:t xml:space="preserve">assumption</w:t>
      </w:r>
      <w:r>
        <w:t xml:space="preserve"> because depot errors are not independent. Make the aggregate error a visible parameter and test sensitivity (for example 10%, 15%, 20%).</w:t>
      </w:r>
    </w:p>
    <w:p>
      <w:pPr>
        <w:pStyle w:val="ListParagraph"/>
        <w:numPr>
          <w:ilvl w:val="0"/>
          <w:numId w:val="4"/>
        </w:numPr>
      </w:pPr>
      <w:r>
        <w:rPr>
          <w:b/>
        </w:rPr>
        <w:t xml:space="preserve">Plan long-lead ingredients at a high percentile (start with P80 to P90) and finished goods nearer P50 to P60.</w:t>
      </w:r>
      <w:r>
        <w:t xml:space="preserve"> These percentiles are decision parameters, not facts; justify them by the asymmetry that frozen pulp keeps up to 6 months (F37) while stock-outs cost contribution.</w:t>
      </w:r>
    </w:p>
    <w:p>
      <w:pPr>
        <w:pStyle w:val="Heading3"/>
      </w:pPr>
      <w:r>
        <w:t xml:space="preserve">3.3 Horizons tied to levers</w:t>
      </w:r>
    </w:p>
    <w:tbl>
      <w:tblPr>
        <w:tblStyle w:val="TableGrid"/>
        <w:tblW w:w="0" w:type="auto"/>
        <w:tblLayout w:type="fixed"/>
        <w:tblLook w:val="04A0" w:firstRow="1" w:lastRow="0" w:firstColumn="0" w:lastColumn="0" w:noHBand="0" w:noVBand="1"/>
      </w:tblPr>
      <w:tblGrid>
        <w:gridCol w:w="2390"/>
        <w:gridCol w:w="2366"/>
        <w:gridCol w:w="4604"/>
      </w:tblGrid>
      <w:tr>
        <w:trPr>
          <w:tblHeader/>
        </w:trPr>
        <w:tc>
          <w:tcPr>
            <w:tcW w:w="2390" w:type="dxa"/>
            <w:shd w:val="clear" w:color="auto" w:fill="F2F2F2"/>
          </w:tcPr>
          <w:p>
            <w:pPr/>
            <w:r>
              <w:t xml:space="preserve">Lever</w:t>
            </w:r>
          </w:p>
        </w:tc>
        <w:tc>
          <w:tcPr>
            <w:tcW w:w="2366" w:type="dxa"/>
            <w:shd w:val="clear" w:color="auto" w:fill="F2F2F2"/>
          </w:tcPr>
          <w:p>
            <w:pPr/>
            <w:r>
              <w:t xml:space="preserve">Horizon needed</w:t>
            </w:r>
          </w:p>
        </w:tc>
        <w:tc>
          <w:tcPr>
            <w:tcW w:w="4604" w:type="dxa"/>
            <w:shd w:val="clear" w:color="auto" w:fill="F2F2F2"/>
          </w:tcPr>
          <w:p>
            <w:pPr/>
            <w:r>
              <w:t xml:space="preserve">Why</w:t>
            </w:r>
          </w:p>
        </w:tc>
      </w:tr>
      <w:tr>
        <w:tc>
          <w:tcPr>
            <w:tcW w:w="2390" w:type="dxa"/>
          </w:tcPr>
          <w:p>
            <w:pPr/>
            <w:r>
              <w:t xml:space="preserve">Imported dragonfruit order</w:t>
            </w:r>
          </w:p>
        </w:tc>
        <w:tc>
          <w:tcPr>
            <w:tcW w:w="2366" w:type="dxa"/>
          </w:tcPr>
          <w:p>
            <w:pPr/>
            <w:r>
              <w:t xml:space="preserve">About 12 weeks</w:t>
            </w:r>
          </w:p>
        </w:tc>
        <w:tc>
          <w:tcPr>
            <w:tcW w:w="4604" w:type="dxa"/>
          </w:tcPr>
          <w:p>
            <w:pPr/>
            <w:r>
              <w:t xml:space="preserve">6–8 week lead time, ordered quarterly (F16, F17); size from DB and DP combined</w:t>
            </w:r>
          </w:p>
        </w:tc>
      </w:tr>
      <w:tr>
        <w:tc>
          <w:tcPr>
            <w:tcW w:w="2390" w:type="dxa"/>
          </w:tcPr>
          <w:p>
            <w:pPr/>
            <w:r>
              <w:t xml:space="preserve">Co-packer call</w:t>
            </w:r>
          </w:p>
        </w:tc>
        <w:tc>
          <w:tcPr>
            <w:tcW w:w="2366" w:type="dxa"/>
          </w:tcPr>
          <w:p>
            <w:pPr/>
            <w:r>
              <w:t xml:space="preserve">2 weeks</w:t>
            </w:r>
          </w:p>
        </w:tc>
        <w:tc>
          <w:tcPr>
            <w:tcW w:w="4604" w:type="dxa"/>
          </w:tcPr>
          <w:p>
            <w:pPr/>
            <w:r>
              <w:t xml:space="preserve">Notice period (F22)</w:t>
            </w:r>
          </w:p>
        </w:tc>
      </w:tr>
      <w:tr>
        <w:tc>
          <w:tcPr>
            <w:tcW w:w="2390" w:type="dxa"/>
          </w:tcPr>
          <w:p>
            <w:pPr/>
            <w:r>
              <w:t xml:space="preserve">Passionfruit pre-positioning</w:t>
            </w:r>
          </w:p>
        </w:tc>
        <w:tc>
          <w:tcPr>
            <w:tcW w:w="2366" w:type="dxa"/>
          </w:tcPr>
          <w:p>
            <w:pPr/>
            <w:r>
              <w:t xml:space="preserve">Pre-peak, plus closure risk</w:t>
            </w:r>
          </w:p>
        </w:tc>
        <w:tc>
          <w:tcPr>
            <w:tcW w:w="4604" w:type="dxa"/>
          </w:tcPr>
          <w:p>
            <w:pPr/>
            <w:r>
              <w:t xml:space="preserve">3 of last 5 summers had closures of at least a week (F42)</w:t>
            </w:r>
          </w:p>
        </w:tc>
      </w:tr>
      <w:tr>
        <w:tc>
          <w:tcPr>
            <w:tcW w:w="2390" w:type="dxa"/>
          </w:tcPr>
          <w:p>
            <w:pPr/>
            <w:r>
              <w:t xml:space="preserve">Depot transfer</w:t>
            </w:r>
          </w:p>
        </w:tc>
        <w:tc>
          <w:tcPr>
            <w:tcW w:w="2366" w:type="dxa"/>
          </w:tcPr>
          <w:p>
            <w:pPr/>
            <w:r>
              <w:t xml:space="preserve">About 1 week</w:t>
            </w:r>
          </w:p>
        </w:tc>
        <w:tc>
          <w:tcPr>
            <w:tcW w:w="4604" w:type="dxa"/>
          </w:tcPr>
          <w:p>
            <w:pPr/>
            <w:r>
              <w:t xml:space="preserve">2–4 days transit (F49)</w:t>
            </w:r>
          </w:p>
        </w:tc>
      </w:tr>
      <w:tr>
        <w:tc>
          <w:tcPr>
            <w:tcW w:w="2390" w:type="dxa"/>
          </w:tcPr>
          <w:p>
            <w:pPr/>
            <w:r>
              <w:t xml:space="preserve">Depot allocation reset</w:t>
            </w:r>
          </w:p>
        </w:tc>
        <w:tc>
          <w:tcPr>
            <w:tcW w:w="2366" w:type="dxa"/>
          </w:tcPr>
          <w:p>
            <w:pPr/>
            <w:r>
              <w:t xml:space="preserve">Weekly review, not monthly</w:t>
            </w:r>
          </w:p>
        </w:tc>
        <w:tc>
          <w:tcPr>
            <w:tcW w:w="4604" w:type="dxa"/>
          </w:tcPr>
          <w:p>
            <w:pPr/>
            <w:r>
              <w:t xml:space="preserve">Allocations are reset monthly (F47)</w:t>
            </w:r>
          </w:p>
        </w:tc>
      </w:tr>
    </w:tbl>
    <w:p>
      <w:pPr>
        <w:pStyle w:val="Heading3"/>
      </w:pPr>
      <w:r>
        <w:t xml:space="preserve">3.4 Convert to kilograms</w:t>
      </w:r>
    </w:p>
    <w:p>
      <w:pPr/>
      <w:r>
        <w:t xml:space="preserve">Bottles × recipe gives pulp by ingredient by week. Use the single recipe table agreed in the handoff (0.06 kg per bottle; DP 0.03 passionfruit + 0.03 dragonfruit; MPB 0.033/0.021/0.006) and label every kilogram figure </w:t>
      </w:r>
      <w:r>
        <w:rPr>
          <w:b/>
        </w:rPr>
        <w:t xml:space="preserve">Assumed</w:t>
      </w:r>
      <w:r>
        <w:t xml:space="preserve">. Feed the result to the supply material balance.</w:t>
      </w:r>
    </w:p>
    <w:p>
      <w:pPr>
        <w:pStyle w:val="Heading2"/>
      </w:pPr>
      <w:r>
        <w:t xml:space="preserve">4. Layer 2: fast sensing for demand shifts</w:t>
      </w:r>
    </w:p>
    <w:p>
      <w:pPr/>
      <w:r>
        <w:rPr>
          <w:b/>
        </w:rPr>
        <w:t xml:space="preserve">Goal:</w:t>
      </w:r>
      <w:r>
        <w:t xml:space="preserve"> catch the next viral spike in days, not at month-end. Quick commerce already reports daily to marketing (F29); the model must route that signal to planning and alert on it.</w:t>
      </w:r>
    </w:p>
    <w:p>
      <w:pPr>
        <w:pStyle w:val="Heading3"/>
      </w:pPr>
      <w:r>
        <w:t xml:space="preserve">4.1 Signal and detector</w:t>
      </w:r>
    </w:p>
    <w:p>
      <w:pPr>
        <w:pStyle w:val="ListParagraph"/>
        <w:numPr>
          <w:ilvl w:val="0"/>
          <w:numId w:val="5"/>
        </w:numPr>
      </w:pPr>
      <w:r>
        <w:t xml:space="preserve">Compute the daily ratio of quick-commerce sell-through to its own trailing baseline, per flavor, by region where mapping allows.</w:t>
      </w:r>
    </w:p>
    <w:p>
      <w:pPr>
        <w:pStyle w:val="ListParagraph"/>
        <w:numPr>
          <w:ilvl w:val="0"/>
          <w:numId w:val="5"/>
        </w:numPr>
      </w:pPr>
      <w:r>
        <w:t xml:space="preserve">Run a </w:t>
      </w:r>
      <w:r>
        <w:rPr>
          <w:b/>
        </w:rPr>
        <w:t xml:space="preserve">control-chart detector</w:t>
      </w:r>
      <w:r>
        <w:t xml:space="preserve">: EWMA and one-sided CUSUM on that ratio. Alert when it breaks the band for N consecutive days (start with N = 2 and tune in the replay).</w:t>
      </w:r>
    </w:p>
    <w:p>
      <w:pPr>
        <w:pStyle w:val="ListParagraph"/>
        <w:numPr>
          <w:ilvl w:val="0"/>
          <w:numId w:val="5"/>
        </w:numPr>
      </w:pPr>
      <w:r>
        <w:t xml:space="preserve">Use a minimum-volume rule so a tiny base does not trigger noise (a new flavor's first days).</w:t>
      </w:r>
    </w:p>
    <w:p>
      <w:pPr>
        <w:pStyle w:val="ListParagraph"/>
        <w:numPr>
          <w:ilvl w:val="0"/>
          <w:numId w:val="5"/>
        </w:numPr>
      </w:pPr>
      <w:r>
        <w:t xml:space="preserve">Apply a </w:t>
      </w:r>
      <w:r>
        <w:rPr>
          <w:b/>
        </w:rPr>
        <w:t xml:space="preserve">stock-out mask</w:t>
      </w:r>
      <w:r>
        <w:t xml:space="preserve">: if a depot is at zero stock, its sales are censored. Do not read a flat or falling series there as falling demand; flag it as unobservable.</w:t>
      </w:r>
    </w:p>
    <w:p>
      <w:pPr>
        <w:pStyle w:val="Heading3"/>
      </w:pPr>
      <w:r>
        <w:t xml:space="preserve">4.2 Classify before reacting</w:t>
      </w:r>
    </w:p>
    <w:p>
      <w:pPr/>
      <w:r>
        <w:t xml:space="preserve">A fourfold rise in orders is not a fourfold forecast. Classify each alert using simple rules, shown with their evidence:</w:t>
      </w:r>
    </w:p>
    <w:p>
      <w:pPr>
        <w:pStyle w:val="ListParagraph"/>
        <w:numPr>
          <w:ilvl w:val="0"/>
          <w:numId w:val="6"/>
        </w:numPr>
      </w:pPr>
      <w:r>
        <w:rPr>
          <w:b/>
        </w:rPr>
        <w:t xml:space="preserve">Launch ramp:</w:t>
      </w:r>
      <w:r>
        <w:t xml:space="preserve"> within the first weeks after a launch event.</w:t>
      </w:r>
    </w:p>
    <w:p>
      <w:pPr>
        <w:pStyle w:val="ListParagraph"/>
        <w:numPr>
          <w:ilvl w:val="0"/>
          <w:numId w:val="6"/>
        </w:numPr>
      </w:pPr>
      <w:r>
        <w:rPr>
          <w:b/>
        </w:rPr>
        <w:t xml:space="preserve">Viral burst:</w:t>
      </w:r>
      <w:r>
        <w:t xml:space="preserve"> sudden break, broad across depots, not tied to a promotion.</w:t>
      </w:r>
    </w:p>
    <w:p>
      <w:pPr>
        <w:pStyle w:val="ListParagraph"/>
        <w:numPr>
          <w:ilvl w:val="0"/>
          <w:numId w:val="6"/>
        </w:numPr>
      </w:pPr>
      <w:r>
        <w:rPr>
          <w:b/>
        </w:rPr>
        <w:t xml:space="preserve">Pantry-loading or order inflation:</w:t>
      </w:r>
      <w:r>
        <w:t xml:space="preserve"> orders rising faster than sell-through. This needs order and sell-through data; if only one series exists, say the class cannot be determined.</w:t>
      </w:r>
    </w:p>
    <w:p>
      <w:pPr/>
      <w:r>
        <w:t xml:space="preserve">Then forecast </w:t>
      </w:r>
      <w:r>
        <w:rPr>
          <w:b/>
        </w:rPr>
        <w:t xml:space="preserve">persistence as scenarios</w:t>
      </w:r>
      <w:r>
        <w:t xml:space="preserve"> (holds, decays, fades) with adjustable sliders. The case does not say how long the 4× level lasted (G20); the sample holds it until 30 June (A20).</w:t>
      </w:r>
    </w:p>
    <w:p>
      <w:pPr>
        <w:pStyle w:val="Heading3"/>
      </w:pPr>
      <w:r>
        <w:t xml:space="preserve">4.3 Alert content</w:t>
      </w:r>
    </w:p>
    <w:p>
      <w:pPr/>
      <w:r>
        <w:t xml:space="preserve">Each alert states: which flavor and channel, how far above baseline, the forecast range under each persistence scenario, </w:t>
      </w:r>
      <w:r>
        <w:rPr>
          <w:b/>
        </w:rPr>
        <w:t xml:space="preserve">which lever it threatens</w:t>
      </w:r>
      <w:r>
        <w:t xml:space="preserve"> (pulp, co-packer, depot cover) and whether the warning time exceeds that lever's response time. Rank alerts by lead-time gap and impact to avoid alert fatigue.</w:t>
      </w:r>
    </w:p>
    <w:p>
      <w:pPr>
        <w:pStyle w:val="Heading3"/>
      </w:pPr>
      <w:r>
        <w:t xml:space="preserve">4.4 Expected replay behavior (sample data)</w:t>
      </w:r>
    </w:p>
    <w:p>
      <w:pPr/>
      <w:r>
        <w:t xml:space="preserve">DP quick-commerce weekly volume rises from about 44.7k to about 73.5k (week to 22 March), then about 140.5k and about 178.9k by early April. A daily detector should flag this days after 16 March, well before the 31 March month-end. Report the detection date and the lead over 31 March. This shape is an assumed ramp, so present it as a replay of the sample, not as proof.</w:t>
      </w:r>
    </w:p>
    <w:p>
      <w:pPr>
        <w:pStyle w:val="Heading2"/>
      </w:pPr>
      <w:r>
        <w:t xml:space="preserve">5. Depot-level forecasting</w:t>
      </w:r>
    </w:p>
    <w:p>
      <w:pPr/>
      <w:r>
        <w:t xml:space="preserve">Forecast hierarchically. Do not fit nine independent depot models: with thin data and 30% error at that level, they would be noisy.</w:t>
      </w:r>
    </w:p>
    <w:p>
      <w:pPr>
        <w:pStyle w:val="Heading3"/>
      </w:pPr>
      <w:r>
        <w:t xml:space="preserve">5.1 Split the aggregate into depot shares</w:t>
      </w:r>
    </w:p>
    <w:p>
      <w:pPr>
        <w:pStyle w:val="ListParagraph"/>
        <w:numPr>
          <w:ilvl w:val="0"/>
          <w:numId w:val="7"/>
        </w:numPr>
      </w:pPr>
      <w:r>
        <w:t xml:space="preserve">National or regional forecast (layers 1 and 2) × </w:t>
      </w:r>
      <w:r>
        <w:rPr>
          <w:b/>
        </w:rPr>
        <w:t xml:space="preserve">depot share</w:t>
      </w:r>
      <w:r>
        <w:t xml:space="preserve"> for each flavor-channel.</w:t>
      </w:r>
    </w:p>
    <w:p>
      <w:pPr>
        <w:pStyle w:val="ListParagraph"/>
        <w:numPr>
          <w:ilvl w:val="0"/>
          <w:numId w:val="7"/>
        </w:numPr>
      </w:pPr>
      <w:r>
        <w:t xml:space="preserve">Estimate depot shares from recent dispatch and sell-through, weighted toward recent weeks so a shift appears within weeks, not at the monthly reset.</w:t>
      </w:r>
    </w:p>
    <w:p>
      <w:pPr>
        <w:pStyle w:val="ListParagraph"/>
        <w:numPr>
          <w:ilvl w:val="0"/>
          <w:numId w:val="7"/>
        </w:numPr>
      </w:pPr>
      <w:r>
        <w:rPr>
          <w:b/>
        </w:rPr>
        <w:t xml:space="preserve">Shrinkage:</w:t>
      </w:r>
      <w:r>
        <w:t xml:space="preserve"> share_d = (n_d × s_d + k × s_region) / (n_d + k), where n_d is the depot's effective observation count and k is a smoothing constant (user-set). This pulls thin depots toward their region.</w:t>
      </w:r>
    </w:p>
    <w:p>
      <w:pPr>
        <w:pStyle w:val="ListParagraph"/>
        <w:numPr>
          <w:ilvl w:val="0"/>
          <w:numId w:val="7"/>
        </w:numPr>
      </w:pPr>
      <w:r>
        <w:rPr>
          <w:b/>
        </w:rPr>
        <w:t xml:space="preserve">New flavor prior:</w:t>
      </w:r>
      <w:r>
        <w:t xml:space="preserve"> initialise DP depot shares from a blend of that depot's DB and PP shares, since DP is a dragonfruit-passionfruit blend. Replace with observed shares as data arrives. This replaces the flat 5% depot plan share (G21, A22).</w:t>
      </w:r>
    </w:p>
    <w:p>
      <w:pPr>
        <w:pStyle w:val="Heading3"/>
      </w:pPr>
      <w:r>
        <w:t xml:space="preserve">5.2 Locate spikes</w:t>
      </w:r>
    </w:p>
    <w:p>
      <w:pPr/>
      <w:r>
        <w:t xml:space="preserve">Quick-commerce spikes should be attributed to depots serving the affected dark stores. The case gives no dark-store-to-depot map (G02, G03). Until one exists, spread by observed depot QC share and </w:t>
      </w:r>
      <w:r>
        <w:rPr>
          <w:b/>
        </w:rPr>
        <w:t xml:space="preserve">label the allocation Assumed</w:t>
      </w:r>
      <w:r>
        <w:t xml:space="preserve">. Do not present a regional spike location as known.</w:t>
      </w:r>
    </w:p>
    <w:p>
      <w:pPr>
        <w:pStyle w:val="Heading3"/>
      </w:pPr>
      <w:r>
        <w:t xml:space="preserve">5.3 Estimate stock between reports</w:t>
      </w:r>
    </w:p>
    <w:p>
      <w:pPr/>
      <w:r>
        <w:t xml:space="preserve">Depots report weekly in their own spreadsheets (F48), so figures can be up to 7 days old. Estimate current stock as: last reported stock minus dispatches since, plus receipts. Show the estimate's age and mark it as inferred.</w:t>
      </w:r>
    </w:p>
    <w:p>
      <w:pPr>
        <w:pStyle w:val="Heading3"/>
      </w:pPr>
      <w:r>
        <w:t xml:space="preserve">5.4 Depot cover and actions</w:t>
      </w:r>
    </w:p>
    <w:p>
      <w:pPr>
        <w:pStyle w:val="ListParagraph"/>
        <w:numPr>
          <w:ilvl w:val="0"/>
          <w:numId w:val="8"/>
        </w:numPr>
      </w:pPr>
      <w:r>
        <w:rPr>
          <w:b/>
        </w:rPr>
        <w:t xml:space="preserve">Forecast cover</w:t>
      </w:r>
      <w:r>
        <w:t xml:space="preserve"> = estimated on-hand ÷ forecast daily run-rate, per flavor, per depot.</w:t>
      </w:r>
    </w:p>
    <w:p>
      <w:pPr>
        <w:pStyle w:val="ListParagraph"/>
        <w:numPr>
          <w:ilvl w:val="0"/>
          <w:numId w:val="8"/>
        </w:numPr>
      </w:pPr>
      <w:r>
        <w:rPr>
          <w:b/>
        </w:rPr>
        <w:t xml:space="preserve">Age cap:</w:t>
      </w:r>
      <w:r>
        <w:t xml:space="preserve"> bottles last 90 days and MT/QC reject under 60, leaving about 30 saleable days after production (C14). Cover beyond the age window is unsellable to those channels. Flag cover that will cross it. This needs batch or production-date data, which the sample lacks; add the field and say so.</w:t>
      </w:r>
    </w:p>
    <w:p>
      <w:pPr>
        <w:pStyle w:val="ListParagraph"/>
        <w:numPr>
          <w:ilvl w:val="0"/>
          <w:numId w:val="8"/>
        </w:numPr>
      </w:pPr>
      <w:r>
        <w:rPr>
          <w:b/>
        </w:rPr>
        <w:t xml:space="preserve">Target cover</w:t>
      </w:r>
      <w:r>
        <w:t xml:space="preserve"> should reflect velocity and variability, not a flat 21 days (F45, nodes </w:t>
      </w:r>
      <w:r>
        <w:rPr>
          <w:rStyle w:val="CodeChar"/>
        </w:rPr>
        <w:t xml:space="preserve">cover_target_days</w:t>
      </w:r>
      <w:r>
        <w:t xml:space="preserve">).</w:t>
      </w:r>
    </w:p>
    <w:p>
      <w:pPr>
        <w:pStyle w:val="ListParagraph"/>
        <w:numPr>
          <w:ilvl w:val="0"/>
          <w:numId w:val="8"/>
        </w:numPr>
      </w:pPr>
      <w:r>
        <w:rPr>
          <w:b/>
        </w:rPr>
        <w:t xml:space="preserve">Flag both sides in one view:</w:t>
      </w:r>
      <w:r>
        <w:t xml:space="preserve"> short depots (replenish) and long depots (transfer candidates). Transfer costs about ₹1.50 per bottle against about ₹19.20 contribution proxy, so early transfers beat late discounting. Each transfer needs evidence of demand at the destination and must pass the shelf-life rule.</w:t>
      </w:r>
    </w:p>
    <w:p>
      <w:pPr>
        <w:pStyle w:val="ListParagraph"/>
        <w:numPr>
          <w:ilvl w:val="0"/>
          <w:numId w:val="8"/>
        </w:numPr>
      </w:pPr>
      <w:r>
        <w:rPr>
          <w:b/>
        </w:rPr>
        <w:t xml:space="preserve">Allocate scarce stock by cover gap,</w:t>
      </w:r>
      <w:r>
        <w:t xml:space="preserve"> not historical share. When DP is short, favor depots with the fewest forecast days left.</w:t>
      </w:r>
    </w:p>
    <w:p>
      <w:pPr>
        <w:pStyle w:val="Heading2"/>
      </w:pPr>
      <w:r>
        <w:t xml:space="preserve">6. Data handling rules</w:t>
      </w:r>
    </w:p>
    <w:p>
      <w:pPr>
        <w:pStyle w:val="ListParagraph"/>
        <w:numPr>
          <w:ilvl w:val="0"/>
          <w:numId w:val="9"/>
        </w:numPr>
      </w:pPr>
      <w:r>
        <w:rPr>
          <w:b/>
        </w:rPr>
        <w:t xml:space="preserve">Censoring:</w:t>
      </w:r>
      <w:r>
        <w:t xml:space="preserve"> build a </w:t>
      </w:r>
      <w:r>
        <w:rPr>
          <w:rStyle w:val="CodeChar"/>
        </w:rPr>
        <w:t xml:space="preserve">stockout_flag</w:t>
      </w:r>
      <w:r>
        <w:t xml:space="preserve"> per depot-flavor-day from </w:t>
      </w:r>
      <w:r>
        <w:rPr>
          <w:rStyle w:val="CodeChar"/>
        </w:rPr>
        <w:t xml:space="preserve">inventory_snapshot</w:t>
      </w:r>
      <w:r>
        <w:t xml:space="preserve"> (weekly) and sales going to zero. Treat flagged days as censored: exclude them from run-rate estimates, or impute from the pre-stock-out run-rate, and record which choice was used.</w:t>
      </w:r>
    </w:p>
    <w:p>
      <w:pPr>
        <w:pStyle w:val="ListParagraph"/>
        <w:numPr>
          <w:ilvl w:val="0"/>
          <w:numId w:val="9"/>
        </w:numPr>
      </w:pPr>
      <w:r>
        <w:rPr>
          <w:b/>
        </w:rPr>
        <w:t xml:space="preserve">Label </w:t>
      </w:r>
      <w:r>
        <w:rPr>
          <w:rStyle w:val="CodeChar"/>
          <w:b/>
        </w:rPr>
        <w:t xml:space="preserve">demand_daily</w:t>
      </w:r>
      <w:r>
        <w:rPr>
          <w:b/>
        </w:rPr>
        <w:t xml:space="preserve"> as sales.</w:t>
      </w:r>
      <w:r>
        <w:t xml:space="preserve"> Create a separate derived </w:t>
      </w:r>
      <w:r>
        <w:rPr>
          <w:rStyle w:val="CodeChar"/>
        </w:rPr>
        <w:t xml:space="preserve">estimated_demand</w:t>
      </w:r>
      <w:r>
        <w:t xml:space="preserve"> column with its method stated.</w:t>
      </w:r>
    </w:p>
    <w:p>
      <w:pPr>
        <w:pStyle w:val="ListParagraph"/>
        <w:numPr>
          <w:ilvl w:val="0"/>
          <w:numId w:val="9"/>
        </w:numPr>
      </w:pPr>
      <w:r>
        <w:rPr>
          <w:b/>
        </w:rPr>
        <w:t xml:space="preserve">Keep raw material and finished goods separate.</w:t>
      </w:r>
      <w:r>
        <w:t xml:space="preserve"> </w:t>
      </w:r>
      <w:r>
        <w:rPr>
          <w:rStyle w:val="CodeChar"/>
        </w:rPr>
        <w:t xml:space="preserve">inventory_snapshot</w:t>
      </w:r>
      <w:r>
        <w:t xml:space="preserve"> contains a </w:t>
      </w:r>
      <w:r>
        <w:rPr>
          <w:rStyle w:val="CodeChar"/>
        </w:rPr>
        <w:t xml:space="preserve">PULP_PASSION</w:t>
      </w:r>
      <w:r>
        <w:t xml:space="preserve"> row type; do not mix it with finished-goods cover.</w:t>
      </w:r>
    </w:p>
    <w:p>
      <w:pPr>
        <w:pStyle w:val="ListParagraph"/>
        <w:numPr>
          <w:ilvl w:val="0"/>
          <w:numId w:val="9"/>
        </w:numPr>
      </w:pPr>
      <w:r>
        <w:rPr>
          <w:b/>
        </w:rPr>
        <w:t xml:space="preserve">Source tags:</w:t>
      </w:r>
      <w:r>
        <w:t xml:space="preserve"> carry </w:t>
      </w:r>
      <w:r>
        <w:rPr>
          <w:rStyle w:val="CodeChar"/>
        </w:rPr>
        <w:t xml:space="preserve">data_source</w:t>
      </w:r>
      <w:r>
        <w:t xml:space="preserve"> (Given, Derived, Assumed) through every output.</w:t>
      </w:r>
    </w:p>
    <w:p>
      <w:pPr>
        <w:pStyle w:val="ListParagraph"/>
        <w:numPr>
          <w:ilvl w:val="0"/>
          <w:numId w:val="9"/>
        </w:numPr>
      </w:pPr>
      <w:r>
        <w:rPr>
          <w:b/>
        </w:rPr>
        <w:t xml:space="preserve">Reconcile before trusting inventory.</w:t>
      </w:r>
      <w:r>
        <w:t xml:space="preserve"> The handoff reported ledger discrepancies in the earlier project data. Run the consistency checks and show any failures.</w:t>
      </w:r>
    </w:p>
    <w:p>
      <w:pPr>
        <w:pStyle w:val="Heading2"/>
      </w:pPr>
      <w:r>
        <w:t xml:space="preserve">7. Outputs the model must produce</w:t>
      </w:r>
    </w:p>
    <w:tbl>
      <w:tblPr>
        <w:tblStyle w:val="TableGrid"/>
        <w:tblW w:w="0" w:type="auto"/>
        <w:tblLayout w:type="fixed"/>
        <w:tblLook w:val="04A0" w:firstRow="1" w:lastRow="0" w:firstColumn="0" w:lastColumn="0" w:noHBand="0" w:noVBand="1"/>
      </w:tblPr>
      <w:tblGrid>
        <w:gridCol w:w="2960"/>
        <w:gridCol w:w="6399"/>
      </w:tblGrid>
      <w:tr>
        <w:trPr>
          <w:tblHeader/>
        </w:trPr>
        <w:tc>
          <w:tcPr>
            <w:tcW w:w="2960" w:type="dxa"/>
            <w:shd w:val="clear" w:color="auto" w:fill="F2F2F2"/>
          </w:tcPr>
          <w:p>
            <w:pPr/>
            <w:r>
              <w:t xml:space="preserve">Table</w:t>
            </w:r>
          </w:p>
        </w:tc>
        <w:tc>
          <w:tcPr>
            <w:tcW w:w="6399" w:type="dxa"/>
            <w:shd w:val="clear" w:color="auto" w:fill="F2F2F2"/>
          </w:tcPr>
          <w:p>
            <w:pPr/>
            <w:r>
              <w:t xml:space="preserve">Key fields</w:t>
            </w:r>
          </w:p>
        </w:tc>
      </w:tr>
      <w:tr>
        <w:tc>
          <w:tcPr>
            <w:tcW w:w="2960" w:type="dxa"/>
          </w:tcPr>
          <w:p>
            <w:pPr/>
            <w:r>
              <w:rPr>
                <w:rStyle w:val="CodeChar"/>
              </w:rPr>
              <w:t xml:space="preserve">forecast_national</w:t>
            </w:r>
          </w:p>
        </w:tc>
        <w:tc>
          <w:tcPr>
            <w:tcW w:w="6399" w:type="dxa"/>
          </w:tcPr>
          <w:p>
            <w:pPr/>
            <w:r>
              <w:t xml:space="preserve">as_of, flavor, channel, week, P10, P50, P80, P90, method, source tags</w:t>
            </w:r>
          </w:p>
        </w:tc>
      </w:tr>
      <w:tr>
        <w:tc>
          <w:tcPr>
            <w:tcW w:w="2960" w:type="dxa"/>
          </w:tcPr>
          <w:p>
            <w:pPr/>
            <w:r>
              <w:rPr>
                <w:rStyle w:val="CodeChar"/>
              </w:rPr>
              <w:t xml:space="preserve">forecast_depot</w:t>
            </w:r>
          </w:p>
        </w:tc>
        <w:tc>
          <w:tcPr>
            <w:tcW w:w="6399" w:type="dxa"/>
          </w:tcPr>
          <w:p>
            <w:pPr/>
            <w:r>
              <w:t xml:space="preserve">as_of, depot, flavor, channel, week, quantiles, share used, share method, flags</w:t>
            </w:r>
          </w:p>
        </w:tc>
      </w:tr>
      <w:tr>
        <w:tc>
          <w:tcPr>
            <w:tcW w:w="2960" w:type="dxa"/>
          </w:tcPr>
          <w:p>
            <w:pPr/>
            <w:r>
              <w:rPr>
                <w:rStyle w:val="CodeChar"/>
              </w:rPr>
              <w:t xml:space="preserve">pulp_requirement</w:t>
            </w:r>
          </w:p>
        </w:tc>
        <w:tc>
          <w:tcPr>
            <w:tcW w:w="6399" w:type="dxa"/>
          </w:tcPr>
          <w:p>
            <w:pPr/>
            <w:r>
              <w:t xml:space="preserve">as_of, ingredient, week, kg at P50 and P80/P90, recipe version, assumption tags</w:t>
            </w:r>
          </w:p>
        </w:tc>
      </w:tr>
      <w:tr>
        <w:tc>
          <w:tcPr>
            <w:tcW w:w="2960" w:type="dxa"/>
          </w:tcPr>
          <w:p>
            <w:pPr/>
            <w:r>
              <w:rPr>
                <w:rStyle w:val="CodeChar"/>
              </w:rPr>
              <w:t xml:space="preserve">demand_alerts</w:t>
            </w:r>
          </w:p>
        </w:tc>
        <w:tc>
          <w:tcPr>
            <w:tcW w:w="6399" w:type="dxa"/>
          </w:tcPr>
          <w:p>
            <w:pPr/>
            <w:r>
              <w:t xml:space="preserve">date, flavor, channel, ratio to baseline, class, persistence scenarios, lever threatened, warning time vs response time, status (Pending, Approved, Rejected, Deferred)</w:t>
            </w:r>
          </w:p>
        </w:tc>
      </w:tr>
      <w:tr>
        <w:tc>
          <w:tcPr>
            <w:tcW w:w="2960" w:type="dxa"/>
          </w:tcPr>
          <w:p>
            <w:pPr/>
            <w:r>
              <w:rPr>
                <w:rStyle w:val="CodeChar"/>
              </w:rPr>
              <w:t xml:space="preserve">depot_cover_flags</w:t>
            </w:r>
          </w:p>
        </w:tc>
        <w:tc>
          <w:tcPr>
            <w:tcW w:w="6399" w:type="dxa"/>
          </w:tcPr>
          <w:p>
            <w:pPr/>
            <w:r>
              <w:t xml:space="preserve">date, depot, flavor, estimated stock, forecast cover, target, age risk, suggested action (replenish, hold, transfer candidate), evidence summary</w:t>
            </w:r>
          </w:p>
        </w:tc>
      </w:tr>
      <w:tr>
        <w:tc>
          <w:tcPr>
            <w:tcW w:w="2960" w:type="dxa"/>
          </w:tcPr>
          <w:p>
            <w:pPr/>
            <w:r>
              <w:rPr>
                <w:rStyle w:val="CodeChar"/>
              </w:rPr>
              <w:t xml:space="preserve">forecast_log</w:t>
            </w:r>
          </w:p>
        </w:tc>
        <w:tc>
          <w:tcPr>
            <w:tcW w:w="6399" w:type="dxa"/>
          </w:tcPr>
          <w:p>
            <w:pPr/>
            <w:r>
              <w:t xml:space="preserve">planner override, reason, before and after values, later outcome</w:t>
            </w:r>
          </w:p>
        </w:tc>
      </w:tr>
    </w:tbl>
    <w:p>
      <w:pPr/>
      <w:r>
        <w:t xml:space="preserve">Log every planner override. That builds trust, is the evidence for whether human judgment adds value, and helps avoid another stalled pilot (F66).</w:t>
      </w:r>
    </w:p>
    <w:p>
      <w:pPr>
        <w:pStyle w:val="Heading2"/>
      </w:pPr>
      <w:r>
        <w:t xml:space="preserve">8. Validation (what to test and what not to claim)</w:t>
      </w:r>
    </w:p>
    <w:p>
      <w:pPr/>
      <w:r>
        <w:t xml:space="preserve">The sample is equal across depots, nearly flat, and has no prior year, so it </w:t>
      </w:r>
      <w:r>
        <w:rPr>
          <w:b/>
        </w:rPr>
        <w:t xml:space="preserve">cannot validate accuracy</w:t>
      </w:r>
      <w:r>
        <w:t xml:space="preserve">.</w:t>
      </w:r>
    </w:p>
    <w:p>
      <w:pPr>
        <w:pStyle w:val="ListParagraph"/>
        <w:numPr>
          <w:ilvl w:val="0"/>
          <w:numId w:val="10"/>
        </w:numPr>
      </w:pPr>
      <w:r>
        <w:rPr>
          <w:b/>
        </w:rPr>
        <w:t xml:space="preserve">Replay test:</w:t>
      </w:r>
      <w:r>
        <w:t xml:space="preserve"> run the detector on the March spike and report detection date and lead over 31 March. Run the same on the May stock-out window to show the censoring logic works (no false “demand collapse” alert).</w:t>
      </w:r>
    </w:p>
    <w:p>
      <w:pPr>
        <w:pStyle w:val="ListParagraph"/>
        <w:numPr>
          <w:ilvl w:val="0"/>
          <w:numId w:val="10"/>
        </w:numPr>
      </w:pPr>
      <w:r>
        <w:rPr>
          <w:b/>
        </w:rPr>
        <w:t xml:space="preserve">Injected scenarios (seeded, clearly labelled synthetic):</w:t>
      </w:r>
    </w:p>
    <w:p>
      <w:pPr>
        <w:pStyle w:val="ListParagraph"/>
        <w:numPr>
          <w:ilvl w:val="1"/>
          <w:numId w:val="11"/>
        </w:numPr>
      </w:pPr>
      <w:r>
        <w:t xml:space="preserve">viral spike of varying size and decay;</w:t>
      </w:r>
    </w:p>
    <w:p>
      <w:pPr>
        <w:pStyle w:val="ListParagraph"/>
        <w:numPr>
          <w:ilvl w:val="1"/>
          <w:numId w:val="11"/>
        </w:numPr>
      </w:pPr>
      <w:r>
        <w:t xml:space="preserve">noisy baseline with weekly seasonality;</w:t>
      </w:r>
    </w:p>
    <w:p>
      <w:pPr>
        <w:pStyle w:val="ListParagraph"/>
        <w:numPr>
          <w:ilvl w:val="1"/>
          <w:numId w:val="11"/>
        </w:numPr>
      </w:pPr>
      <w:r>
        <w:t xml:space="preserve">regional imbalance: one region overstocked on MPB and GC and another short (A24 says this is a replay parameter, not baseline data);</w:t>
      </w:r>
    </w:p>
    <w:p>
      <w:pPr>
        <w:pStyle w:val="ListParagraph"/>
        <w:numPr>
          <w:ilvl w:val="1"/>
          <w:numId w:val="11"/>
        </w:numPr>
      </w:pPr>
      <w:r>
        <w:t xml:space="preserve">stock-out with censored sales;</w:t>
      </w:r>
    </w:p>
    <w:p>
      <w:pPr>
        <w:pStyle w:val="ListParagraph"/>
        <w:numPr>
          <w:ilvl w:val="1"/>
          <w:numId w:val="11"/>
        </w:numPr>
      </w:pPr>
      <w:r>
        <w:t xml:space="preserve">a false alarm (a one-day blip).</w:t>
      </w:r>
    </w:p>
    <w:p>
      <w:pPr>
        <w:pStyle w:val="ListParagraph"/>
        <w:numPr>
          <w:ilvl w:val="0"/>
          <w:numId w:val="10"/>
        </w:numPr>
      </w:pPr>
      <w:r>
        <w:rPr>
          <w:b/>
        </w:rPr>
        <w:t xml:space="preserve">Metrics:</w:t>
      </w:r>
      <w:r>
        <w:t xml:space="preserve"> detection lead time, false alert rate, bias, WAPE at national and depot level on injected scenarios, quantile coverage (does P90 contain about 90%?), and decision outcomes (stock-out days, aged stock, transfers proposed). Report on injected data only, labelled as such.</w:t>
      </w:r>
    </w:p>
    <w:p>
      <w:pPr>
        <w:pStyle w:val="ListParagraph"/>
        <w:numPr>
          <w:ilvl w:val="0"/>
          <w:numId w:val="10"/>
        </w:numPr>
      </w:pPr>
      <w:r>
        <w:rPr>
          <w:b/>
        </w:rPr>
        <w:t xml:space="preserve">Sensitivity:</w:t>
      </w:r>
      <w:r>
        <w:t xml:space="preserve"> vary the aggregate error, chosen percentiles, shrinkage constant k, detector threshold and the recipe. Show how conclusions change.</w:t>
      </w:r>
    </w:p>
    <w:p>
      <w:pPr>
        <w:pStyle w:val="ListParagraph"/>
        <w:numPr>
          <w:ilvl w:val="0"/>
          <w:numId w:val="10"/>
        </w:numPr>
      </w:pPr>
      <w:r>
        <w:rPr>
          <w:b/>
        </w:rPr>
        <w:t xml:space="preserve">Do not</w:t>
      </w:r>
      <w:r>
        <w:t xml:space="preserve"> present a MAPE or accuracy percentage as a result for real operations.</w:t>
      </w:r>
    </w:p>
    <w:p>
      <w:pPr>
        <w:pStyle w:val="Heading2"/>
      </w:pPr>
      <w:r>
        <w:t xml:space="preserve">9. Known issues to resolve first</w:t>
      </w:r>
    </w:p>
    <w:p>
      <w:pPr>
        <w:pStyle w:val="ListParagraph"/>
        <w:numPr>
          <w:ilvl w:val="0"/>
          <w:numId w:val="12"/>
        </w:numPr>
      </w:pPr>
      <w:r>
        <w:rPr>
          <w:b/>
        </w:rPr>
        <w:t xml:space="preserve">No finished-goods lag in the sample.</w:t>
      </w:r>
      <w:r>
        <w:t xml:space="preserve"> PP depot stock goes from about 2.65 million units on 18 May to 0 on 25 May despite about 19 days of depot cover. Real depots would run dry around mid-June. Fix this before the replay, or the supply-to-inventory link will look instantaneous.</w:t>
      </w:r>
    </w:p>
    <w:p>
      <w:pPr>
        <w:pStyle w:val="ListParagraph"/>
        <w:numPr>
          <w:ilvl w:val="0"/>
          <w:numId w:val="12"/>
        </w:numPr>
      </w:pPr>
      <w:r>
        <w:rPr>
          <w:b/>
        </w:rPr>
        <w:t xml:space="preserve">DP at zero cover from 16 March</w:t>
      </w:r>
      <w:r>
        <w:t xml:space="preserve"> because depot plan share is 5% against 12% demand (G21). This is a cover-rule root cause, separate from the viral spike and highway.</w:t>
      </w:r>
    </w:p>
    <w:p>
      <w:pPr>
        <w:pStyle w:val="ListParagraph"/>
        <w:numPr>
          <w:ilvl w:val="0"/>
          <w:numId w:val="12"/>
        </w:numPr>
      </w:pPr>
      <w:r>
        <w:rPr>
          <w:b/>
        </w:rPr>
        <w:t xml:space="preserve">Flat, deterministic sales</w:t>
      </w:r>
      <w:r>
        <w:t xml:space="preserve"> (no noise, no weekly pattern). Add a seeded noise generator for tests, clearly labelled as synthetic.</w:t>
      </w:r>
    </w:p>
    <w:p>
      <w:pPr>
        <w:pStyle w:val="ListParagraph"/>
        <w:numPr>
          <w:ilvl w:val="0"/>
          <w:numId w:val="12"/>
        </w:numPr>
      </w:pPr>
      <w:r>
        <w:rPr>
          <w:b/>
        </w:rPr>
        <w:t xml:space="preserve">Recipe and BOM gaps</w:t>
      </w:r>
      <w:r>
        <w:t xml:space="preserve"> (G05, G06). Keep one assumptions table.</w:t>
      </w:r>
    </w:p>
    <w:p>
      <w:pPr>
        <w:pStyle w:val="ListParagraph"/>
        <w:numPr>
          <w:ilvl w:val="0"/>
          <w:numId w:val="12"/>
        </w:numPr>
      </w:pPr>
      <w:r>
        <w:rPr>
          <w:b/>
        </w:rPr>
        <w:t xml:space="preserve">Missing links:</w:t>
      </w:r>
      <w:r>
        <w:t xml:space="preserve"> plant-to-depot (G02), dark-store-to-depot, batch age, order versus sell-through data.</w:t>
      </w:r>
    </w:p>
    <w:p>
      <w:pPr>
        <w:pStyle w:val="Heading2"/>
      </w:pPr>
      <w:r>
        <w:t xml:space="preserve">10. Build order</w:t>
      </w:r>
    </w:p>
    <w:p>
      <w:pPr>
        <w:pStyle w:val="ListParagraph"/>
        <w:numPr>
          <w:ilvl w:val="0"/>
          <w:numId w:val="13"/>
        </w:numPr>
      </w:pPr>
      <w:r>
        <w:t xml:space="preserve">Load the CSVs and the fact, assumption and gap tables; build the source-tag scheme.</w:t>
      </w:r>
    </w:p>
    <w:p>
      <w:pPr>
        <w:pStyle w:val="ListParagraph"/>
        <w:numPr>
          <w:ilvl w:val="0"/>
          <w:numId w:val="13"/>
        </w:numPr>
      </w:pPr>
      <w:r>
        <w:t xml:space="preserve">Build the stock-out mask and the </w:t>
      </w:r>
      <w:r>
        <w:rPr>
          <w:rStyle w:val="CodeChar"/>
        </w:rPr>
        <w:t xml:space="preserve">estimated_demand</w:t>
      </w:r>
      <w:r>
        <w:t xml:space="preserve"> column.</w:t>
      </w:r>
    </w:p>
    <w:p>
      <w:pPr>
        <w:pStyle w:val="ListParagraph"/>
        <w:numPr>
          <w:ilvl w:val="0"/>
          <w:numId w:val="13"/>
        </w:numPr>
      </w:pPr>
      <w:r>
        <w:t xml:space="preserve">Layer 1: case-calibrated baseline with quantiles and the kilogram conversion.</w:t>
      </w:r>
    </w:p>
    <w:p>
      <w:pPr>
        <w:pStyle w:val="ListParagraph"/>
        <w:numPr>
          <w:ilvl w:val="0"/>
          <w:numId w:val="13"/>
        </w:numPr>
      </w:pPr>
      <w:r>
        <w:t xml:space="preserve">Layer 2: the detector, classifier and persistence scenarios, then the replay.</w:t>
      </w:r>
    </w:p>
    <w:p>
      <w:pPr>
        <w:pStyle w:val="ListParagraph"/>
        <w:numPr>
          <w:ilvl w:val="0"/>
          <w:numId w:val="13"/>
        </w:numPr>
      </w:pPr>
      <w:r>
        <w:t xml:space="preserve">Depot split with shrinkage and the DP prior.</w:t>
      </w:r>
    </w:p>
    <w:p>
      <w:pPr>
        <w:pStyle w:val="ListParagraph"/>
        <w:numPr>
          <w:ilvl w:val="0"/>
          <w:numId w:val="13"/>
        </w:numPr>
      </w:pPr>
      <w:r>
        <w:t xml:space="preserve">Depot stock estimate, forecast cover and age-risk flags.</w:t>
      </w:r>
    </w:p>
    <w:p>
      <w:pPr>
        <w:pStyle w:val="ListParagraph"/>
        <w:numPr>
          <w:ilvl w:val="0"/>
          <w:numId w:val="13"/>
        </w:numPr>
      </w:pPr>
      <w:r>
        <w:t xml:space="preserve">Alerts and outputs with approval-status fields.</w:t>
      </w:r>
    </w:p>
    <w:p>
      <w:pPr>
        <w:pStyle w:val="ListParagraph"/>
        <w:numPr>
          <w:ilvl w:val="0"/>
          <w:numId w:val="13"/>
        </w:numPr>
      </w:pPr>
      <w:r>
        <w:t xml:space="preserve">Injected-scenario tests, sensitivity table and a one-page limitations note.</w:t>
      </w:r>
    </w:p>
    <w:p>
      <w:pPr>
        <w:pStyle w:val="Heading2"/>
      </w:pPr>
      <w:r>
        <w:t xml:space="preserve">11. Acceptance checklist</w:t>
      </w:r>
    </w:p>
    <w:p>
      <w:pPr>
        <w:pStyle w:val="ListParagraph"/>
        <w:numPr>
          <w:ilvl w:val="0"/>
          <w:numId w:val="14"/>
        </w:numPr>
      </w:pPr>
      <w:r>
        <w:t xml:space="preserve">Every number is tagged Given, Derived or Assumed, with fact or gap IDs where they apply.</w:t>
      </w:r>
    </w:p>
    <w:p>
      <w:pPr>
        <w:pStyle w:val="ListParagraph"/>
        <w:numPr>
          <w:ilvl w:val="0"/>
          <w:numId w:val="14"/>
        </w:numPr>
      </w:pPr>
      <w:r>
        <w:t xml:space="preserve">Censored days are never read as low demand.</w:t>
      </w:r>
    </w:p>
    <w:p>
      <w:pPr>
        <w:pStyle w:val="ListParagraph"/>
        <w:numPr>
          <w:ilvl w:val="0"/>
          <w:numId w:val="14"/>
        </w:numPr>
      </w:pPr>
      <w:r>
        <w:t xml:space="preserve">Detection date and lead time are reported for the March replay.</w:t>
      </w:r>
    </w:p>
    <w:p>
      <w:pPr>
        <w:pStyle w:val="ListParagraph"/>
        <w:numPr>
          <w:ilvl w:val="0"/>
          <w:numId w:val="14"/>
        </w:numPr>
      </w:pPr>
      <w:r>
        <w:t xml:space="preserve">Depot forecasts use shares with shrinkage and show their method.</w:t>
      </w:r>
    </w:p>
    <w:p>
      <w:pPr>
        <w:pStyle w:val="ListParagraph"/>
        <w:numPr>
          <w:ilvl w:val="0"/>
          <w:numId w:val="14"/>
        </w:numPr>
      </w:pPr>
      <w:r>
        <w:t xml:space="preserve">Every alert names the lever it threatens and compares warning time to response time.</w:t>
      </w:r>
    </w:p>
    <w:p>
      <w:pPr>
        <w:pStyle w:val="ListParagraph"/>
        <w:numPr>
          <w:ilvl w:val="0"/>
          <w:numId w:val="14"/>
        </w:numPr>
      </w:pPr>
      <w:r>
        <w:t xml:space="preserve">No accuracy claim is made from the sample data.</w:t>
      </w:r>
    </w:p>
    <w:p>
      <w:pPr>
        <w:pStyle w:val="ListParagraph"/>
        <w:numPr>
          <w:ilvl w:val="0"/>
          <w:numId w:val="14"/>
        </w:numPr>
      </w:pPr>
      <w:r>
        <w:t xml:space="preserve">All outputs are review candidates; none are executed.</w:t>
      </w:r>
    </w:p>
    <w:p>
      <w:pPr>
        <w:pStyle w:val="ListParagraph"/>
        <w:numPr>
          <w:ilvl w:val="0"/>
          <w:numId w:val="14"/>
        </w:numPr>
      </w:pPr>
      <w:r>
        <w:t xml:space="preserve">It runs in a spreadsheet or lightweight script that a planner and a vendor could maintain within the ₹2.5 crore budget.</w:t>
      </w:r>
    </w:p>
    <w:p>
      <w:pPr>
        <w:pStyle w:val="Heading2"/>
      </w:pPr>
      <w:r>
        <w:t xml:space="preserve">12. Open questions to settle with the user</w:t>
      </w:r>
    </w:p>
    <w:p>
      <w:pPr>
        <w:pStyle w:val="ListParagraph"/>
        <w:numPr>
          <w:ilvl w:val="0"/>
          <w:numId w:val="15"/>
        </w:numPr>
      </w:pPr>
      <w:r>
        <w:t xml:space="preserve">What aggregate error and percentile settings should be the defaults?</w:t>
      </w:r>
    </w:p>
    <w:p>
      <w:pPr>
        <w:pStyle w:val="ListParagraph"/>
        <w:numPr>
          <w:ilvl w:val="0"/>
          <w:numId w:val="15"/>
        </w:numPr>
      </w:pPr>
      <w:r>
        <w:t xml:space="preserve">Is depot-level forecasting framed under the Inventory module or kept separate?</w:t>
      </w:r>
    </w:p>
    <w:p>
      <w:pPr>
        <w:pStyle w:val="ListParagraph"/>
        <w:numPr>
          <w:ilvl w:val="0"/>
          <w:numId w:val="15"/>
        </w:numPr>
      </w:pPr>
      <w:r>
        <w:t xml:space="preserve">Can plants hold finished goods as a central pool, or only regional pooling by transfers?</w:t>
      </w:r>
    </w:p>
    <w:p>
      <w:pPr>
        <w:pStyle w:val="ListParagraph"/>
        <w:numPr>
          <w:ilvl w:val="0"/>
          <w:numId w:val="15"/>
        </w:numPr>
      </w:pPr>
      <w:r>
        <w:t xml:space="preserve">How should the dark-store-to-depot assumption be handled until real data exists?</w:t>
      </w:r>
    </w:p>
    <w:p>
      <w:pPr>
        <w:pStyle w:val="ListParagraph"/>
        <w:numPr>
          <w:ilvl w:val="0"/>
          <w:numId w:val="15"/>
        </w:numPr>
      </w:pPr>
      <w:r>
        <w:t xml:space="preserve">Should the baseline blend plan and run-rate, or use run-rate only once enough weeks exist?</w:t>
      </w:r>
    </w:p>
    <w:p>
      <w:pPr>
        <w:pStyle w:val="Heading2"/>
      </w:pPr>
      <w:r>
        <w:t xml:space="preserve">13. Continuation prompt</w:t>
      </w:r>
    </w:p>
    <w:p>
      <w:pPr>
        <w:pStyle w:val="Quote"/>
      </w:pPr>
      <w:r>
        <w:t xml:space="preserve">I am building the forecasting component of PulpSense for the Pulp Riot case (McKinsey PS1, TransfiNITTe). Read the attached build specification, the problem statement and the sample CSVs. Build it at signal-layer depth: a case-calibrated baseline with quantile ranges, a daily quick-commerce shift detector with persistence scenarios, and a hierarchical depot split with shrinkage and a new-flavor prior. Keep Given, Derived and Assumed values separate and tagged. Treat sales as censored during stock-outs. Make every output a review candidate needing human approval. Do not claim forecast accuracy from the sample data; report detection lead time in the replay and test on clearly labelled injected scenarios. Flag every assumption and run the sensitivity checks in the specification. Ask me before making choices listed under open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PulpSense Forecasting Model Build Specification</dc:title>
  <dc:description>Claude Docs node/9bf1b5f9-bdce@1 docx-w7</dc:description>
  <cp:revision>1</cp:revision>
</cp:coreProperties>
</file>