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FD782E" w14:textId="77777777" w:rsidR="002A23E2" w:rsidRPr="002A23E2" w:rsidRDefault="002A23E2" w:rsidP="002A23E2">
      <w:pPr>
        <w:rPr>
          <w:b/>
          <w:bCs/>
          <w:sz w:val="32"/>
          <w:szCs w:val="32"/>
        </w:rPr>
      </w:pPr>
      <w:r w:rsidRPr="002A23E2">
        <w:rPr>
          <w:b/>
          <w:bCs/>
          <w:sz w:val="32"/>
          <w:szCs w:val="32"/>
        </w:rPr>
        <w:t>Key Findings &amp; Management Commentary</w:t>
      </w:r>
    </w:p>
    <w:p w14:paraId="7A9AD923" w14:textId="77777777" w:rsidR="002A23E2" w:rsidRPr="002A23E2" w:rsidRDefault="002A23E2" w:rsidP="002A23E2">
      <w:r w:rsidRPr="002A23E2">
        <w:rPr>
          <w:b/>
          <w:bCs/>
        </w:rPr>
        <w:t>Overall:</w:t>
      </w:r>
      <w:r w:rsidRPr="002A23E2">
        <w:t xml:space="preserve"> Total revenue was 166.74M against a budget of 167.42M, which is 0.41% below budget (</w:t>
      </w:r>
      <w:r w:rsidRPr="002A23E2">
        <w:rPr>
          <w:b/>
          <w:bCs/>
        </w:rPr>
        <w:t>Unfavorable</w:t>
      </w:r>
      <w:r w:rsidRPr="002A23E2">
        <w:t>). Total expense was 85.17M against a budget of 85.28M, which is 0.12% below budget (</w:t>
      </w:r>
      <w:r w:rsidRPr="002A23E2">
        <w:rPr>
          <w:b/>
          <w:bCs/>
        </w:rPr>
        <w:t>Favorable</w:t>
      </w:r>
      <w:r w:rsidRPr="002A23E2">
        <w:t>). The gap is therefore a revenue issue, not a cost issue.</w:t>
      </w:r>
    </w:p>
    <w:p w14:paraId="21890263" w14:textId="77777777" w:rsidR="002A23E2" w:rsidRPr="002A23E2" w:rsidRDefault="002A23E2" w:rsidP="002A23E2">
      <w:r w:rsidRPr="002A23E2">
        <w:rPr>
          <w:b/>
          <w:bCs/>
        </w:rPr>
        <w:t>Departments:</w:t>
      </w:r>
      <w:r w:rsidRPr="002A23E2">
        <w:t xml:space="preserve"> Orthopedics had the largest shortfall, with revenue 2.2% below budget (</w:t>
      </w:r>
      <w:r w:rsidRPr="002A23E2">
        <w:rPr>
          <w:b/>
          <w:bCs/>
        </w:rPr>
        <w:t>Unfavorable</w:t>
      </w:r>
      <w:r w:rsidRPr="002A23E2">
        <w:t>). Neurology performed best, with revenue 0.95% above budget (</w:t>
      </w:r>
      <w:r w:rsidRPr="002A23E2">
        <w:rPr>
          <w:b/>
          <w:bCs/>
        </w:rPr>
        <w:t>Favorable</w:t>
      </w:r>
      <w:r w:rsidRPr="002A23E2">
        <w:t>).</w:t>
      </w:r>
    </w:p>
    <w:p w14:paraId="202D4E62" w14:textId="77777777" w:rsidR="002A23E2" w:rsidRPr="002A23E2" w:rsidRDefault="002A23E2" w:rsidP="002A23E2">
      <w:r w:rsidRPr="002A23E2">
        <w:rPr>
          <w:b/>
          <w:bCs/>
        </w:rPr>
        <w:t>Categories:</w:t>
      </w:r>
      <w:r w:rsidRPr="002A23E2">
        <w:t xml:space="preserve"> Consultation Services (-1.4%) and Surgical Services (-1.0%) were below budget (</w:t>
      </w:r>
      <w:r w:rsidRPr="002A23E2">
        <w:rPr>
          <w:b/>
          <w:bCs/>
        </w:rPr>
        <w:t>Unfavorable</w:t>
      </w:r>
      <w:r w:rsidRPr="002A23E2">
        <w:t xml:space="preserve">). Treatment Services was the only revenue category above budget (+1.0%, </w:t>
      </w:r>
      <w:r w:rsidRPr="002A23E2">
        <w:rPr>
          <w:b/>
          <w:bCs/>
        </w:rPr>
        <w:t>Favorable</w:t>
      </w:r>
      <w:r w:rsidRPr="002A23E2">
        <w:t>).</w:t>
      </w:r>
    </w:p>
    <w:p w14:paraId="0524C4D8" w14:textId="77777777" w:rsidR="002A23E2" w:rsidRPr="002A23E2" w:rsidRDefault="002A23E2" w:rsidP="002A23E2">
      <w:r w:rsidRPr="002A23E2">
        <w:rPr>
          <w:b/>
          <w:bCs/>
        </w:rPr>
        <w:t>Business units:</w:t>
      </w:r>
      <w:r w:rsidRPr="002A23E2">
        <w:t xml:space="preserve"> All 4 units were below revenue budget (</w:t>
      </w:r>
      <w:r w:rsidRPr="002A23E2">
        <w:rPr>
          <w:b/>
          <w:bCs/>
        </w:rPr>
        <w:t>Unfavorable</w:t>
      </w:r>
      <w:r w:rsidRPr="002A23E2">
        <w:t>). Emergency Services was the lowest at -0.64%. Emergency Services and Outpatient Services were also slightly over their expense budgets (</w:t>
      </w:r>
      <w:r w:rsidRPr="002A23E2">
        <w:rPr>
          <w:b/>
          <w:bCs/>
        </w:rPr>
        <w:t>Unfavorable</w:t>
      </w:r>
      <w:r w:rsidRPr="002A23E2">
        <w:t>).</w:t>
      </w:r>
    </w:p>
    <w:p w14:paraId="6EA051A1" w14:textId="56879AF2" w:rsidR="002A23E2" w:rsidRPr="002A23E2" w:rsidRDefault="002A23E2" w:rsidP="002A23E2">
      <w:r w:rsidRPr="002A23E2">
        <w:rPr>
          <w:b/>
          <w:bCs/>
        </w:rPr>
        <w:t>Recommendation:</w:t>
      </w:r>
      <w:r w:rsidR="00E0548E" w:rsidRPr="00E0548E">
        <w:t xml:space="preserve"> </w:t>
      </w:r>
      <w:r w:rsidR="00E0548E" w:rsidRPr="00E0548E">
        <w:t>Review revenue targets and billing for Orthopedics, Consultation and Surgical services, and monitor Medicines &amp; Supplies, which overran its budget by 1.0%.</w:t>
      </w:r>
    </w:p>
    <w:p w14:paraId="0F1F6E33" w14:textId="77777777" w:rsidR="002240C3" w:rsidRDefault="002240C3"/>
    <w:sectPr w:rsidR="002240C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23E2"/>
    <w:rsid w:val="002240C3"/>
    <w:rsid w:val="002A23E2"/>
    <w:rsid w:val="00521DA8"/>
    <w:rsid w:val="00C51251"/>
    <w:rsid w:val="00E0548E"/>
    <w:rsid w:val="00EF43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06E7F6"/>
  <w15:chartTrackingRefBased/>
  <w15:docId w15:val="{75F05A7E-D951-417F-AE68-82DFE0F174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23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23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23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23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23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23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23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23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23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23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23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23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23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23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23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23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23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23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23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23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23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23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23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23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23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23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23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23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23E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155</Words>
  <Characters>886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NIMISHA CK</dc:creator>
  <cp:keywords/>
  <dc:description/>
  <cp:lastModifiedBy>NIMISHA CK</cp:lastModifiedBy>
  <cp:revision>1</cp:revision>
  <dcterms:created xsi:type="dcterms:W3CDTF">2026-10-07T18:27:00Z</dcterms:created>
  <dcterms:modified xsi:type="dcterms:W3CDTF">2026-10-07T18:40:00Z</dcterms:modified>
</cp:coreProperties>
</file>