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CONCISE DESCRIPTION OF RELEVANCE — THIRD-PARTY SUBMISSION UNDER 37 CFR § 1.290</w:t>
      </w:r>
    </w:p>
    <w:p>
      <w:r>
        <w:rPr>
          <w:i/>
        </w:rPr>
        <w:t>U.S. Application No. 19/315,746 (Publication No. US 2026/0109053 A1)</w:t>
      </w:r>
    </w:p>
    <w:p>
      <w:r>
        <w:rPr>
          <w:b/>
        </w:rPr>
        <w:t>Document 3: U.S. Patent Application Publication No. US 2012/0025053 A1 (“Document 3”)</w:t>
      </w:r>
    </w:p>
    <w:p>
      <w:pPr>
        <w:spacing w:after="20"/>
        <w:ind w:left="403"/>
      </w:pPr>
      <w:r>
        <w:rPr>
          <w:i/>
        </w:rPr>
        <w:t xml:space="preserve">First Named Inventor: </w:t>
      </w:r>
      <w:r>
        <w:t>Peter Tell</w:t>
      </w:r>
    </w:p>
    <w:p>
      <w:pPr>
        <w:spacing w:after="20"/>
        <w:ind w:left="403"/>
      </w:pPr>
      <w:r>
        <w:rPr>
          <w:i/>
        </w:rPr>
        <w:t xml:space="preserve">Publication Date: </w:t>
      </w:r>
      <w:r>
        <w:t>February 2, 2012</w:t>
      </w:r>
    </w:p>
    <w:p>
      <w:pPr>
        <w:spacing w:after="20"/>
        <w:ind w:left="403"/>
      </w:pPr>
      <w:r>
        <w:rPr>
          <w:i/>
        </w:rPr>
        <w:t xml:space="preserve">Title: </w:t>
      </w:r>
      <w:r>
        <w:t>Suction cup having replaceable sealing surfaces</w:t>
      </w:r>
    </w:p>
    <w:p>
      <w:r>
        <w:t>This document discloses a suction cup for a tool driven by vacuum, where the suction cup is coupled to a sealing ring, and elements can be combined using coupling means. Its potential relevance to the claims of the above-identified application is set forth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FEFEF"/>
          </w:tcPr>
          <w:p>
            <w:pPr>
              <w:spacing w:after="40"/>
            </w:pPr>
            <w:r>
              <w:rPr>
                <w:b/>
                <w:sz w:val="21"/>
              </w:rPr>
              <w:t>Claim language (US 2026/0109053 A1)</w:t>
            </w:r>
          </w:p>
        </w:tc>
        <w:tc>
          <w:tcPr>
            <w:tcW w:type="dxa" w:w="4680"/>
            <w:shd w:fill="EFEFEF"/>
          </w:tcPr>
          <w:p>
            <w:pPr>
              <w:spacing w:after="40"/>
            </w:pPr>
            <w:r>
              <w:rPr>
                <w:b/>
                <w:sz w:val="21"/>
              </w:rPr>
              <w:t>Relevant disclosure of this document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Claim 9 (said suction plate comprising a carrier plate and a seal, which is fastened to the carrier plate and extends around the carrier plate; and)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The reference discloses a suction cup that is coupled to a sealing ring having a sealing surface.</w:t>
            </w:r>
          </w:p>
          <w:p>
            <w:pPr>
              <w:spacing w:after="40"/>
            </w:pPr>
            <w:r>
              <w:rPr>
                <w:sz w:val="21"/>
              </w:rPr>
              <w:t>“The suction cup is in its lower end arranged to be coupled to a sealing ring having a sealing surface arranged between an outer periphery and a through-opening defined by an inner periphery …”</w:t>
            </w:r>
          </w:p>
          <w:p>
            <w:pPr>
              <w:spacing w:after="40"/>
              <w:ind w:left="202"/>
            </w:pPr>
            <w:r>
              <w:rPr>
                <w:sz w:val="21"/>
              </w:rPr>
              <w:t>• Abstract</w:t>
            </w:r>
          </w:p>
          <w:p>
            <w:pPr>
              <w:spacing w:after="40"/>
              <w:ind w:left="202"/>
            </w:pPr>
            <w:r>
              <w:rPr>
                <w:sz w:val="21"/>
              </w:rPr>
              <w:t>• Paragraph [0001]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Claim 10 (The vacuum handling apparatus according to claim 9, wherein the grip unit and the suction plate are releasably connected to one another via a coupling device)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The reference discloses that elements comprise coupling means of complementary shape arranged for a form fitting engagement between coupled elements, whereby the elements can be combined as desired.</w:t>
            </w:r>
          </w:p>
          <w:p>
            <w:pPr>
              <w:spacing w:after="40"/>
            </w:pPr>
            <w:r>
              <w:rPr>
                <w:sz w:val="21"/>
              </w:rPr>
              <w:t>“The elements comprises coupling means of complementary shape formed integrally therewith, preferably having rotational symmetrical shape, and arranged for a form fitting engagement between coupled elements, whereby the elements can be combined as desired since the coupling means of all …”</w:t>
            </w:r>
          </w:p>
          <w:p>
            <w:pPr>
              <w:spacing w:after="40"/>
              <w:ind w:left="202"/>
            </w:pPr>
            <w:r>
              <w:rPr>
                <w:sz w:val="21"/>
              </w:rPr>
              <w:t>• Paragraph [0006]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sz w:val="19"/>
      </w:rPr>
      <w:t>Re: U.S. Application No. 19/315,746 (Publication No. US 2026/0109053 A1)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sz w:val="19"/>
      </w:rPr>
      <w:t>Re: U.S. Application No. 19/315,746 (Publication No. US 2026/0109053 A1)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