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FMAbhaya" w:hAnsi="FMAbhaya"/>
        </w:rPr>
        <w:t>wOHdmk m%ldYk fomd¾;fïka;=j</w:t>
      </w:r>
      <w:r>
        <w:rPr>
          <w:rFonts w:ascii="Iskoola Pota" w:hAnsi="Iskoola Pota"/>
        </w:rPr>
        <w:t xml:space="preserve"> අධ්‍යාපන ප්‍රකාශන දෙපාර්තමේන්තුව</w:t>
      </w:r>
      <w:r>
        <w:t xml:space="preserve"> www.edupub.gov.lk</w:t>
      </w:r>
    </w:p>
    <w:p>
      <w:r>
        <w:t>Between the paragraph and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FMAbhaya" w:hAnsi="FMAbhaya"/>
              </w:rPr>
              <w:t>wOHdmk m%ldYk fomd¾;fïka;=j</w:t>
            </w:r>
          </w:p>
        </w:tc>
        <w:tc>
          <w:tcPr>
            <w:tcW w:type="dxa" w:w="4320"/>
          </w:tcPr>
          <w:p>
            <w:r>
              <w:rPr>
                <w:rFonts w:ascii="Iskoola Pota" w:hAnsi="Iskoola Pota"/>
              </w:rPr>
              <w:t>අධ්‍යාපන ප්‍රකාශන දෙපාර්තමේන්තුව</w:t>
            </w:r>
          </w:p>
        </w:tc>
      </w:tr>
      <w:tr>
        <w:tc>
          <w:tcPr>
            <w:tcW w:type="dxa" w:w="4320"/>
          </w:tcPr>
          <w:p>
            <w:r>
              <w:rPr>
                <w:rFonts w:ascii="FMBindumathix" w:hAnsi="FMBindumathix"/>
              </w:rPr>
              <w:t>wOHdmk m%ldYk fomd¾;fïka;=j</w:t>
            </w:r>
          </w:p>
        </w:tc>
        <w:tc>
          <w:tcPr>
            <w:tcW w:type="dxa" w:w="4320"/>
          </w:tcPr>
          <w:p>
            <w:r>
              <w:t>www.edupub.gov.lk</w:t>
            </w:r>
          </w:p>
        </w:tc>
      </w:tr>
    </w:tbl>
    <w:p>
      <w:r>
        <w:t>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