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2"/>
        <w:tblW w:w="969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197"/>
        <w:gridCol w:w="3143"/>
        <w:gridCol w:w="4350"/>
      </w:tblGrid>
      <w:tr w14:paraId="72EAE4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690" w:type="dxa"/>
            <w:gridSpan w:val="3"/>
            <w:shd w:val="clear" w:color="auto" w:fill="auto"/>
            <w:vAlign w:val="center"/>
          </w:tcPr>
          <w:p w14:paraId="2E68D1B3">
            <w:pPr>
              <w:spacing w:before="240" w:after="240" w:line="360" w:lineRule="auto"/>
              <w:jc w:val="center"/>
              <w:rPr>
                <w:rFonts w:ascii="黑体" w:hAnsi="黑体" w:eastAsia="黑体"/>
                <w:b/>
                <w:color w:val="000000" w:themeColor="text1"/>
                <w:sz w:val="44"/>
                <w14:textFill>
                  <w14:solidFill>
                    <w14:schemeClr w14:val="tx1"/>
                  </w14:solidFill>
                </w14:textFill>
              </w:rPr>
            </w:pPr>
            <w:r>
              <w:rPr>
                <w:rFonts w:ascii="黑体" w:hAnsi="黑体" w:eastAsia="黑体"/>
                <w:b/>
                <w:color w:val="000000" w:themeColor="text1"/>
                <w:sz w:val="44"/>
                <w14:textFill>
                  <w14:solidFill>
                    <w14:schemeClr w14:val="tx1"/>
                  </w14:solidFill>
                </w14:textFill>
              </w:rPr>
              <w:t>全国大学生零碳科技创新大赛申报书</w:t>
            </w:r>
          </w:p>
          <w:p w14:paraId="1F3295D0">
            <w:pPr>
              <w:spacing w:before="240" w:after="240" w:line="360" w:lineRule="auto"/>
              <w:jc w:val="center"/>
              <w:rPr>
                <w:color w:val="FFFFFF" w:themeColor="background1"/>
                <w14:textFill>
                  <w14:solidFill>
                    <w14:schemeClr w14:val="bg1"/>
                  </w14:solidFill>
                </w14:textFill>
              </w:rPr>
            </w:pPr>
            <w:r>
              <w:rPr>
                <w:rFonts w:ascii="黑体" w:hAnsi="黑体" w:eastAsia="黑体"/>
                <w:b/>
                <w:color w:val="000000" w:themeColor="text1"/>
                <w:sz w:val="44"/>
                <w14:textFill>
                  <w14:solidFill>
                    <w14:schemeClr w14:val="tx1"/>
                  </w14:solidFill>
                </w14:textFill>
              </w:rPr>
              <w:t>（开放赛道）</w:t>
            </w:r>
          </w:p>
        </w:tc>
      </w:tr>
      <w:tr w14:paraId="7417B7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97" w:type="dxa"/>
            <w:vAlign w:val="center"/>
          </w:tcPr>
          <w:p w14:paraId="0BA772DF">
            <w:pPr>
              <w:spacing w:before="40" w:after="40" w:line="360" w:lineRule="auto"/>
              <w:jc w:val="center"/>
            </w:pPr>
            <w:r>
              <w:rPr>
                <w:rFonts w:ascii="黑体" w:hAnsi="黑体" w:eastAsia="黑体"/>
                <w:b/>
                <w:sz w:val="24"/>
              </w:rPr>
              <w:t>项目名称</w:t>
            </w:r>
          </w:p>
        </w:tc>
        <w:tc>
          <w:tcPr>
            <w:tcW w:w="7493" w:type="dxa"/>
            <w:gridSpan w:val="2"/>
            <w:vAlign w:val="center"/>
          </w:tcPr>
          <w:p w14:paraId="72C18DD5">
            <w:pPr>
              <w:spacing w:before="40" w:after="40" w:line="360" w:lineRule="auto"/>
              <w:jc w:val="left"/>
            </w:pPr>
            <w:r>
              <w:rPr>
                <w:rFonts w:ascii="宋体" w:hAnsi="宋体" w:eastAsia="宋体"/>
                <w:b w:val="0"/>
                <w:sz w:val="24"/>
              </w:rPr>
              <w:t>电-碳双驱</w:t>
            </w:r>
            <w:r>
              <w:rPr>
                <w:rFonts w:hint="eastAsia"/>
                <w:b w:val="0"/>
                <w:sz w:val="24"/>
                <w:lang w:eastAsia="zh-CN"/>
              </w:rPr>
              <w:t>污水处理厂</w:t>
            </w:r>
            <w:r>
              <w:rPr>
                <w:rFonts w:ascii="宋体" w:hAnsi="宋体" w:eastAsia="宋体"/>
                <w:b w:val="0"/>
                <w:sz w:val="24"/>
              </w:rPr>
              <w:t>储能充放电智能优化系统</w:t>
            </w:r>
          </w:p>
        </w:tc>
      </w:tr>
      <w:tr w14:paraId="6D35FC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97" w:type="dxa"/>
            <w:vAlign w:val="center"/>
          </w:tcPr>
          <w:p w14:paraId="5B3F78ED">
            <w:pPr>
              <w:spacing w:before="40" w:after="40" w:line="360" w:lineRule="auto"/>
              <w:jc w:val="center"/>
            </w:pPr>
            <w:r>
              <w:rPr>
                <w:rFonts w:ascii="黑体" w:hAnsi="黑体" w:eastAsia="黑体"/>
                <w:b/>
                <w:sz w:val="24"/>
              </w:rPr>
              <w:t>关键词</w:t>
            </w:r>
          </w:p>
        </w:tc>
        <w:tc>
          <w:tcPr>
            <w:tcW w:w="7493" w:type="dxa"/>
            <w:gridSpan w:val="2"/>
            <w:vAlign w:val="center"/>
          </w:tcPr>
          <w:p w14:paraId="6320E0CE">
            <w:pPr>
              <w:spacing w:before="40" w:after="40" w:line="360" w:lineRule="auto"/>
              <w:jc w:val="left"/>
            </w:pPr>
            <w:r>
              <w:rPr>
                <w:rFonts w:ascii="宋体" w:hAnsi="宋体" w:eastAsia="宋体"/>
                <w:b w:val="0"/>
                <w:sz w:val="24"/>
              </w:rPr>
              <w:t>污水处理；储能优化；负荷预测；碳核算；电-碳双驱</w:t>
            </w:r>
          </w:p>
        </w:tc>
      </w:tr>
      <w:tr w14:paraId="668B37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97" w:type="dxa"/>
            <w:shd w:val="clear" w:color="auto" w:fill="auto"/>
            <w:vAlign w:val="center"/>
          </w:tcPr>
          <w:p w14:paraId="22E4833B">
            <w:pPr>
              <w:spacing w:before="40" w:after="40" w:line="360" w:lineRule="auto"/>
              <w:jc w:val="center"/>
            </w:pPr>
            <w:r>
              <w:rPr>
                <w:rFonts w:ascii="黑体" w:hAnsi="黑体" w:eastAsia="黑体"/>
                <w:b/>
                <w:sz w:val="24"/>
              </w:rPr>
              <w:t>团队类型</w:t>
            </w:r>
          </w:p>
        </w:tc>
        <w:tc>
          <w:tcPr>
            <w:tcW w:w="3143" w:type="dxa"/>
            <w:shd w:val="clear" w:color="auto" w:fill="auto"/>
            <w:vAlign w:val="center"/>
          </w:tcPr>
          <w:p w14:paraId="34C5C3D7">
            <w:pPr>
              <w:spacing w:before="40" w:after="40" w:line="360" w:lineRule="auto"/>
              <w:jc w:val="left"/>
              <w:rPr>
                <w:rFonts w:ascii="宋体" w:hAnsi="宋体" w:eastAsia="宋体"/>
                <w:b w:val="0"/>
                <w:sz w:val="24"/>
              </w:rPr>
            </w:pPr>
            <w:r>
              <w:rPr>
                <w:rFonts w:ascii="宋体" w:hAnsi="宋体" w:eastAsia="宋体"/>
                <w:b w:val="0"/>
                <w:sz w:val="24"/>
              </w:rPr>
              <w:t xml:space="preserve">☑ 本/专科生组  </w:t>
            </w:r>
          </w:p>
          <w:p w14:paraId="1AE80063">
            <w:pPr>
              <w:spacing w:before="40" w:after="40" w:line="360" w:lineRule="auto"/>
              <w:jc w:val="left"/>
            </w:pPr>
            <w:r>
              <w:rPr>
                <w:rFonts w:ascii="宋体" w:hAnsi="宋体" w:eastAsia="宋体"/>
                <w:b w:val="0"/>
                <w:sz w:val="24"/>
              </w:rPr>
              <w:t>☐ 研究生组</w:t>
            </w:r>
          </w:p>
        </w:tc>
        <w:tc>
          <w:tcPr>
            <w:tcW w:w="4350" w:type="dxa"/>
            <w:shd w:val="clear" w:color="auto" w:fill="auto"/>
            <w:vAlign w:val="center"/>
          </w:tcPr>
          <w:p w14:paraId="579060D6">
            <w:pPr>
              <w:spacing w:before="40" w:after="40" w:line="360" w:lineRule="auto"/>
              <w:jc w:val="left"/>
              <w:rPr>
                <w:rFonts w:ascii="宋体" w:hAnsi="宋体" w:eastAsia="宋体"/>
                <w:b w:val="0"/>
                <w:sz w:val="24"/>
              </w:rPr>
            </w:pPr>
            <w:r>
              <w:rPr>
                <w:rFonts w:ascii="宋体" w:hAnsi="宋体" w:eastAsia="宋体"/>
                <w:b w:val="0"/>
                <w:sz w:val="24"/>
              </w:rPr>
              <w:t>赛道方向：</w:t>
            </w:r>
          </w:p>
          <w:p w14:paraId="2C7F1A1D">
            <w:pPr>
              <w:spacing w:before="40" w:after="40" w:line="360" w:lineRule="auto"/>
              <w:jc w:val="left"/>
              <w:rPr>
                <w:rFonts w:ascii="宋体" w:hAnsi="宋体" w:eastAsia="宋体"/>
                <w:b w:val="0"/>
                <w:sz w:val="24"/>
              </w:rPr>
            </w:pPr>
            <w:r>
              <w:rPr>
                <w:rFonts w:ascii="宋体" w:hAnsi="宋体" w:eastAsia="宋体"/>
                <w:b w:val="0"/>
                <w:sz w:val="24"/>
              </w:rPr>
              <w:t xml:space="preserve">☐ 技术减碳  </w:t>
            </w:r>
            <w:r>
              <w:rPr>
                <w:rFonts w:hint="eastAsia"/>
                <w:b w:val="0"/>
                <w:sz w:val="24"/>
                <w:lang w:eastAsia="zh-CN"/>
              </w:rPr>
              <w:t>☑</w:t>
            </w:r>
            <w:r>
              <w:rPr>
                <w:rFonts w:ascii="宋体" w:hAnsi="宋体" w:eastAsia="宋体"/>
                <w:b w:val="0"/>
                <w:sz w:val="24"/>
              </w:rPr>
              <w:t xml:space="preserve"> 智能控碳 </w:t>
            </w:r>
          </w:p>
          <w:p w14:paraId="68646CA4">
            <w:pPr>
              <w:spacing w:before="40" w:after="40" w:line="360" w:lineRule="auto"/>
              <w:jc w:val="left"/>
            </w:pPr>
            <w:r>
              <w:rPr>
                <w:rFonts w:ascii="宋体" w:hAnsi="宋体" w:eastAsia="宋体"/>
                <w:b w:val="0"/>
                <w:sz w:val="24"/>
              </w:rPr>
              <w:t>☐ 持续固碳  ☐ 机制促碳</w:t>
            </w:r>
          </w:p>
        </w:tc>
      </w:tr>
      <w:tr w14:paraId="7B0F82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98" w:hRule="atLeast"/>
          <w:jc w:val="center"/>
        </w:trPr>
        <w:tc>
          <w:tcPr>
            <w:tcW w:w="9690" w:type="dxa"/>
            <w:gridSpan w:val="3"/>
            <w:shd w:val="clear" w:color="auto" w:fill="auto"/>
            <w:vAlign w:val="center"/>
          </w:tcPr>
          <w:p w14:paraId="463E54A1">
            <w:pPr>
              <w:spacing w:before="120" w:after="120" w:line="360" w:lineRule="auto"/>
              <w:jc w:val="left"/>
            </w:pPr>
            <w:r>
              <w:rPr>
                <w:rFonts w:ascii="黑体" w:hAnsi="黑体" w:eastAsia="黑体"/>
                <w:b/>
                <w:sz w:val="28"/>
              </w:rPr>
              <w:t>一、项目简介（≤800字）</w:t>
            </w:r>
          </w:p>
        </w:tc>
      </w:tr>
      <w:tr w14:paraId="12FD03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690" w:type="dxa"/>
            <w:gridSpan w:val="3"/>
            <w:shd w:val="clear" w:color="auto" w:fill="auto"/>
            <w:vAlign w:val="center"/>
          </w:tcPr>
          <w:p w14:paraId="683B2D05">
            <w:pPr>
              <w:spacing w:after="60" w:line="360" w:lineRule="auto"/>
              <w:ind w:firstLine="480"/>
              <w:jc w:val="both"/>
            </w:pPr>
            <w:r>
              <w:rPr>
                <w:rFonts w:ascii="Times New Roman" w:hAnsi="Times New Roman" w:eastAsia="宋体" w:cs="Times New Roman"/>
                <w:sz w:val="24"/>
                <w:szCs w:val="24"/>
              </w:rPr>
              <w:t>城镇污水处理厂作为保障水环境质量的关键基础设施，年处理水量超过7</w:t>
            </w:r>
            <w:r>
              <w:rPr>
                <w:rFonts w:hint="eastAsia" w:ascii="Times New Roman" w:hAnsi="Times New Roman" w:cs="Times New Roman"/>
                <w:sz w:val="24"/>
                <w:szCs w:val="24"/>
                <w:lang w:val="en-US" w:eastAsia="zh-CN"/>
              </w:rPr>
              <w:t>5</w:t>
            </w:r>
            <w:r>
              <w:rPr>
                <w:rFonts w:ascii="Times New Roman" w:hAnsi="Times New Roman" w:eastAsia="宋体" w:cs="Times New Roman"/>
                <w:sz w:val="24"/>
                <w:szCs w:val="24"/>
              </w:rPr>
              <w:t>0亿立方米，</w:t>
            </w:r>
            <w:r>
              <w:rPr>
                <w:rFonts w:hint="eastAsia" w:ascii="Times New Roman" w:hAnsi="Times New Roman" w:cs="Times New Roman"/>
                <w:sz w:val="24"/>
                <w:szCs w:val="24"/>
                <w:lang w:val="en-US" w:eastAsia="zh-CN"/>
              </w:rPr>
              <w:t>其中</w:t>
            </w:r>
            <w:r>
              <w:rPr>
                <w:rFonts w:ascii="Times New Roman" w:hAnsi="Times New Roman" w:eastAsia="宋体" w:cs="Times New Roman"/>
                <w:sz w:val="24"/>
                <w:szCs w:val="24"/>
              </w:rPr>
              <w:t>最大碳排放来源为电力消耗，占比达40%-60%[1]。在“双碳”战略深入推进的背景下，污水处理行业面临着能源成本高企、碳排放核算粗放、电碳管理割裂等突出问题。如何在保障出水水质的前提下实现节能降碳，已成为行业亟待解决的核心命题。</w:t>
            </w:r>
          </w:p>
          <w:p w14:paraId="00C4D185">
            <w:pPr>
              <w:spacing w:after="60" w:line="360" w:lineRule="auto"/>
              <w:ind w:firstLine="480"/>
              <w:jc w:val="both"/>
            </w:pPr>
            <w:r>
              <w:rPr>
                <w:rFonts w:ascii="Times New Roman" w:hAnsi="Times New Roman" w:eastAsia="宋体" w:cs="Times New Roman"/>
                <w:sz w:val="24"/>
                <w:szCs w:val="24"/>
              </w:rPr>
              <w:t>本项目以“电-碳双驱耦合优化”为核心理念，面向城镇污水处理厂构建了一套集负荷预测、储能优化调度与碳排放核算于一体的智能系统。系统包含三大模块：模块一采用两阶段解耦架构（自适应窗口日总量预测+KNN模板匹配逐时分配），基于Holt-Winters实现日前负荷预测，验证集MAPE仅4.61%、R²达0.878；模块二基于linprog（HiGHS求解器）线性规划框架，构建“节能/安全”双模式滞回状态</w:t>
            </w:r>
            <w:r>
              <w:rPr>
                <w:rFonts w:hint="eastAsia" w:ascii="Times New Roman" w:hAnsi="Times New Roman" w:cs="Times New Roman"/>
                <w:sz w:val="24"/>
                <w:szCs w:val="24"/>
                <w:lang w:val="en-US" w:eastAsia="zh-CN"/>
              </w:rPr>
              <w:t>机制</w:t>
            </w:r>
            <w:r>
              <w:rPr>
                <w:rFonts w:ascii="Times New Roman" w:hAnsi="Times New Roman" w:eastAsia="宋体" w:cs="Times New Roman"/>
                <w:sz w:val="24"/>
                <w:szCs w:val="24"/>
              </w:rPr>
              <w:t>，实现24h</w:t>
            </w:r>
            <w:r>
              <w:rPr>
                <w:rFonts w:hint="eastAsia" w:ascii="Times New Roman" w:hAnsi="Times New Roman" w:cs="Times New Roman"/>
                <w:sz w:val="24"/>
                <w:szCs w:val="24"/>
                <w:lang w:val="en-US" w:eastAsia="zh-CN"/>
              </w:rPr>
              <w:t>储能</w:t>
            </w:r>
            <w:r>
              <w:rPr>
                <w:rFonts w:ascii="Times New Roman" w:hAnsi="Times New Roman" w:eastAsia="宋体" w:cs="Times New Roman"/>
                <w:sz w:val="24"/>
                <w:szCs w:val="24"/>
              </w:rPr>
              <w:t>充放电调度优化，</w:t>
            </w:r>
            <w:r>
              <w:rPr>
                <w:rFonts w:hint="eastAsia" w:ascii="Times New Roman" w:hAnsi="Times New Roman" w:cs="Times New Roman"/>
                <w:sz w:val="24"/>
                <w:szCs w:val="24"/>
                <w:lang w:val="en-US" w:eastAsia="zh-CN"/>
              </w:rPr>
              <w:t>A污水厂</w:t>
            </w:r>
            <w:r>
              <w:rPr>
                <w:rFonts w:ascii="Times New Roman" w:hAnsi="Times New Roman" w:eastAsia="宋体" w:cs="Times New Roman"/>
                <w:sz w:val="24"/>
                <w:szCs w:val="24"/>
              </w:rPr>
              <w:t>配合16MWh/8MW储能系统与10.5MW柔性光伏，年节省电费</w:t>
            </w:r>
            <w:r>
              <w:rPr>
                <w:rFonts w:hint="eastAsia" w:ascii="Times New Roman" w:hAnsi="Times New Roman" w:cs="Times New Roman"/>
                <w:sz w:val="24"/>
                <w:szCs w:val="24"/>
                <w:lang w:val="en-US" w:eastAsia="zh-CN"/>
              </w:rPr>
              <w:t>约</w:t>
            </w:r>
            <w:r>
              <w:rPr>
                <w:rFonts w:ascii="Times New Roman" w:hAnsi="Times New Roman" w:eastAsia="宋体" w:cs="Times New Roman"/>
                <w:sz w:val="24"/>
                <w:szCs w:val="24"/>
              </w:rPr>
              <w:t>1143万元，投资回收期5.9年；模块三建立“企业清单账+项目减排账+LCA</w:t>
            </w:r>
            <w:r>
              <w:rPr>
                <w:rFonts w:hint="eastAsia" w:ascii="Times New Roman" w:hAnsi="Times New Roman" w:cs="Times New Roman"/>
                <w:sz w:val="24"/>
                <w:szCs w:val="24"/>
                <w:lang w:val="en-US" w:eastAsia="zh-CN"/>
              </w:rPr>
              <w:t>储能</w:t>
            </w:r>
            <w:r>
              <w:rPr>
                <w:rFonts w:ascii="Times New Roman" w:hAnsi="Times New Roman" w:eastAsia="宋体" w:cs="Times New Roman"/>
                <w:sz w:val="24"/>
                <w:szCs w:val="24"/>
              </w:rPr>
              <w:t>全生命周期账”三账碳核算体系，年碳减排量3496 tCO₂e。</w:t>
            </w:r>
          </w:p>
          <w:p w14:paraId="1619190E">
            <w:pPr>
              <w:spacing w:after="60" w:line="360" w:lineRule="auto"/>
              <w:ind w:firstLine="480"/>
              <w:jc w:val="both"/>
            </w:pPr>
            <w:r>
              <w:rPr>
                <w:rFonts w:ascii="Times New Roman" w:hAnsi="Times New Roman" w:eastAsia="宋体" w:cs="Times New Roman"/>
                <w:sz w:val="24"/>
                <w:szCs w:val="24"/>
              </w:rPr>
              <w:t>本项目的核心创新在于：提出了电-碳双驱耦合优化范式，</w:t>
            </w:r>
            <w:r>
              <w:rPr>
                <w:rFonts w:hint="eastAsia" w:ascii="Times New Roman" w:hAnsi="Times New Roman" w:eastAsia="宋体" w:cs="Times New Roman"/>
                <w:sz w:val="24"/>
                <w:szCs w:val="24"/>
              </w:rPr>
              <w:t>通过逐时动态碳排放因子与绿电溯源机制</w:t>
            </w:r>
            <w:r>
              <w:rPr>
                <w:rFonts w:ascii="Times New Roman" w:hAnsi="Times New Roman" w:eastAsia="宋体" w:cs="Times New Roman"/>
                <w:sz w:val="24"/>
                <w:szCs w:val="24"/>
              </w:rPr>
              <w:t>，首次在污水处理场景中实现了“预测-调度-核算”全链条闭环。预期成果包括：一套可工程化部署的智能优化软件系统（含可交互网页应用与数字大屏，实现负荷预测、储能调度、碳核算结果的一屏可视化呈现）、一套符合GB/T 46725—2025等最新标准的碳核算方法学，以及一个年省电费超1100万元、投资回收期约6年的零碳示范方案。</w:t>
            </w:r>
          </w:p>
        </w:tc>
      </w:tr>
      <w:tr w14:paraId="66AD71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690" w:type="dxa"/>
            <w:gridSpan w:val="3"/>
            <w:shd w:val="clear" w:color="auto" w:fill="auto"/>
            <w:vAlign w:val="center"/>
          </w:tcPr>
          <w:p w14:paraId="1DFDEC13">
            <w:pPr>
              <w:numPr>
                <w:ilvl w:val="0"/>
                <w:numId w:val="7"/>
              </w:numPr>
              <w:spacing w:before="120" w:after="120" w:line="360" w:lineRule="auto"/>
              <w:jc w:val="left"/>
              <w:rPr>
                <w:rFonts w:ascii="黑体" w:hAnsi="黑体" w:eastAsia="黑体"/>
                <w:b/>
                <w:sz w:val="28"/>
              </w:rPr>
            </w:pPr>
            <w:r>
              <w:rPr>
                <w:rFonts w:ascii="黑体" w:hAnsi="黑体" w:eastAsia="黑体"/>
                <w:b/>
                <w:sz w:val="28"/>
              </w:rPr>
              <w:t>研究背景与意义（≤1000字）</w:t>
            </w:r>
          </w:p>
          <w:p w14:paraId="57DF4A25">
            <w:pPr>
              <w:pStyle w:val="4"/>
              <w:keepNext/>
              <w:keepLines/>
              <w:spacing w:before="180" w:after="100"/>
              <w:rPr>
                <w:color w:val="000000" w:themeColor="text1"/>
                <w14:textFill>
                  <w14:solidFill>
                    <w14:schemeClr w14:val="tx1"/>
                  </w14:solidFill>
                </w14:textFill>
              </w:rPr>
            </w:pPr>
            <w:r>
              <w:rPr>
                <w:rFonts w:ascii="Times New Roman" w:hAnsi="Times New Roman" w:eastAsia="宋体" w:cs="Times New Roman"/>
                <w:b/>
                <w:bCs/>
                <w:color w:val="000000" w:themeColor="text1"/>
                <w:sz w:val="28"/>
                <w:szCs w:val="28"/>
                <w14:textFill>
                  <w14:solidFill>
                    <w14:schemeClr w14:val="tx1"/>
                  </w14:solidFill>
                </w14:textFill>
              </w:rPr>
              <w:t>2.1 行业现状与政策驱动</w:t>
            </w:r>
          </w:p>
          <w:p w14:paraId="40A2824F">
            <w:pPr>
              <w:spacing w:after="60" w:line="360" w:lineRule="auto"/>
              <w:ind w:firstLine="480"/>
              <w:jc w:val="both"/>
            </w:pPr>
            <w:r>
              <w:rPr>
                <w:rFonts w:ascii="Times New Roman" w:hAnsi="Times New Roman" w:eastAsia="宋体" w:cs="Times New Roman"/>
                <w:sz w:val="24"/>
                <w:szCs w:val="24"/>
              </w:rPr>
              <w:t>据《中国城乡建设统计年鉴2024》数据，全国县级以上污水处理厂超过5200座，年处理污水量逾7</w:t>
            </w:r>
            <w:r>
              <w:rPr>
                <w:rFonts w:hint="eastAsia" w:ascii="Times New Roman" w:hAnsi="Times New Roman" w:cs="Times New Roman"/>
                <w:sz w:val="24"/>
                <w:szCs w:val="24"/>
                <w:lang w:val="en-US" w:eastAsia="zh-CN"/>
              </w:rPr>
              <w:t>5</w:t>
            </w:r>
            <w:r>
              <w:rPr>
                <w:rFonts w:ascii="Times New Roman" w:hAnsi="Times New Roman" w:eastAsia="宋体" w:cs="Times New Roman"/>
                <w:sz w:val="24"/>
                <w:szCs w:val="24"/>
              </w:rPr>
              <w:t>0亿立方米，年耗电量约200亿kWh[</w:t>
            </w:r>
            <w:r>
              <w:rPr>
                <w:rFonts w:hint="eastAsia" w:ascii="Times New Roman" w:hAnsi="Times New Roman" w:cs="Times New Roman"/>
                <w:sz w:val="24"/>
                <w:szCs w:val="24"/>
                <w:lang w:val="en-US" w:eastAsia="zh-CN"/>
              </w:rPr>
              <w:t>2</w:t>
            </w:r>
            <w:r>
              <w:rPr>
                <w:rFonts w:ascii="Times New Roman" w:hAnsi="Times New Roman" w:eastAsia="宋体" w:cs="Times New Roman"/>
                <w:sz w:val="24"/>
                <w:szCs w:val="24"/>
              </w:rPr>
              <w:t>]。国家发改委、住建部《“十四五”城镇污水处理及资源化利用发展规划》明确提出，到2025年城市污水处理能效提升20%以上[</w:t>
            </w:r>
            <w:r>
              <w:rPr>
                <w:rFonts w:hint="eastAsia" w:ascii="Times New Roman" w:hAnsi="Times New Roman" w:cs="Times New Roman"/>
                <w:sz w:val="24"/>
                <w:szCs w:val="24"/>
                <w:lang w:val="en-US" w:eastAsia="zh-CN"/>
              </w:rPr>
              <w:t>3</w:t>
            </w:r>
            <w:r>
              <w:rPr>
                <w:rFonts w:ascii="Times New Roman" w:hAnsi="Times New Roman" w:eastAsia="宋体" w:cs="Times New Roman"/>
                <w:sz w:val="24"/>
                <w:szCs w:val="24"/>
              </w:rPr>
              <w:t>]。2023年生态环境部等五部门联合印发的《减污降碳协同增效实施方案》进一步要求污水处理行业推进能源结构优化与碳排放精细化管控[</w:t>
            </w:r>
            <w:r>
              <w:rPr>
                <w:rFonts w:hint="eastAsia" w:ascii="Times New Roman" w:hAnsi="Times New Roman" w:cs="Times New Roman"/>
                <w:sz w:val="24"/>
                <w:szCs w:val="24"/>
                <w:lang w:val="en-US" w:eastAsia="zh-CN"/>
              </w:rPr>
              <w:t>4</w:t>
            </w:r>
            <w:r>
              <w:rPr>
                <w:rFonts w:ascii="Times New Roman" w:hAnsi="Times New Roman" w:eastAsia="宋体" w:cs="Times New Roman"/>
                <w:sz w:val="24"/>
                <w:szCs w:val="24"/>
              </w:rPr>
              <w:t>]。广东省作为全国碳交易试点先行区，已率先将大型市政设施纳入碳排放管理范畴，对污水处理厂的碳排放核算与减排提出了更迫切的要求。</w:t>
            </w:r>
          </w:p>
          <w:p w14:paraId="0D818190">
            <w:pPr>
              <w:pStyle w:val="4"/>
              <w:keepNext/>
              <w:keepLines/>
              <w:spacing w:before="180" w:after="100"/>
              <w:rPr>
                <w:color w:val="000000" w:themeColor="text1"/>
                <w14:textFill>
                  <w14:solidFill>
                    <w14:schemeClr w14:val="tx1"/>
                  </w14:solidFill>
                </w14:textFill>
              </w:rPr>
            </w:pPr>
            <w:r>
              <w:rPr>
                <w:rFonts w:ascii="Times New Roman" w:hAnsi="Times New Roman" w:eastAsia="宋体" w:cs="Times New Roman"/>
                <w:b/>
                <w:bCs/>
                <w:color w:val="000000" w:themeColor="text1"/>
                <w:sz w:val="28"/>
                <w:szCs w:val="28"/>
                <w14:textFill>
                  <w14:solidFill>
                    <w14:schemeClr w14:val="tx1"/>
                  </w14:solidFill>
                </w14:textFill>
              </w:rPr>
              <w:t>2.2 三大核心痛点</w:t>
            </w:r>
          </w:p>
          <w:p w14:paraId="7DFD309A">
            <w:pPr>
              <w:spacing w:after="60" w:line="360" w:lineRule="auto"/>
              <w:ind w:firstLine="480"/>
              <w:jc w:val="both"/>
            </w:pPr>
            <w:r>
              <w:rPr>
                <w:rFonts w:ascii="Times New Roman" w:hAnsi="Times New Roman" w:eastAsia="宋体" w:cs="Times New Roman"/>
                <w:sz w:val="24"/>
                <w:szCs w:val="24"/>
              </w:rPr>
              <w:t>当前污水处理厂在能源管理与碳排放控制领域存在三个亟待突破的关键瓶颈：</w:t>
            </w:r>
          </w:p>
          <w:p w14:paraId="3F869B3E">
            <w:pPr>
              <w:spacing w:after="60" w:line="360" w:lineRule="auto"/>
              <w:ind w:firstLine="480"/>
              <w:jc w:val="both"/>
            </w:pPr>
            <w:r>
              <w:rPr>
                <w:rFonts w:ascii="Times New Roman" w:hAnsi="Times New Roman" w:eastAsia="宋体" w:cs="Times New Roman"/>
                <w:b/>
                <w:bCs/>
                <w:sz w:val="24"/>
                <w:szCs w:val="24"/>
              </w:rPr>
              <w:t>痛点一：电碳管理割裂。</w:t>
            </w:r>
            <w:r>
              <w:rPr>
                <w:rFonts w:ascii="Times New Roman" w:hAnsi="Times New Roman" w:eastAsia="宋体" w:cs="Times New Roman"/>
                <w:sz w:val="24"/>
                <w:szCs w:val="24"/>
              </w:rPr>
              <w:t>现有能源管理系统仅关注削峰填谷降低电费，缺乏将电力调度与碳排放关联的优化机制[</w:t>
            </w:r>
            <w:r>
              <w:rPr>
                <w:rFonts w:hint="eastAsia" w:ascii="Times New Roman" w:hAnsi="Times New Roman" w:cs="Times New Roman"/>
                <w:sz w:val="24"/>
                <w:szCs w:val="24"/>
                <w:lang w:val="en-US" w:eastAsia="zh-CN"/>
              </w:rPr>
              <w:t>5</w:t>
            </w:r>
            <w:r>
              <w:rPr>
                <w:rFonts w:ascii="Times New Roman" w:hAnsi="Times New Roman" w:eastAsia="宋体" w:cs="Times New Roman"/>
                <w:sz w:val="24"/>
                <w:szCs w:val="24"/>
              </w:rPr>
              <w:t>]。储能充放电策略仅以电价套利为目标，忽略了不同时段的碳排放强度差异，导致经济效益与环境效益无法协同。</w:t>
            </w:r>
          </w:p>
          <w:p w14:paraId="6BC503FF">
            <w:pPr>
              <w:spacing w:after="60" w:line="360" w:lineRule="auto"/>
              <w:ind w:firstLine="480"/>
              <w:jc w:val="both"/>
            </w:pPr>
            <w:r>
              <w:rPr>
                <w:rFonts w:ascii="Times New Roman" w:hAnsi="Times New Roman" w:eastAsia="宋体" w:cs="Times New Roman"/>
                <w:b/>
                <w:bCs/>
                <w:sz w:val="24"/>
                <w:szCs w:val="24"/>
              </w:rPr>
              <w:t>痛点二：碳排放因子时间粒度粗。</w:t>
            </w:r>
            <w:r>
              <w:rPr>
                <w:rFonts w:ascii="Times New Roman" w:hAnsi="Times New Roman" w:eastAsia="宋体" w:cs="Times New Roman"/>
                <w:sz w:val="24"/>
                <w:szCs w:val="24"/>
              </w:rPr>
              <w:t>现行碳核算普遍采用年度或月度固定排放因子（如广东省电力因子0.4419 tCO₂/MWh[</w:t>
            </w:r>
            <w:r>
              <w:rPr>
                <w:rFonts w:hint="eastAsia" w:ascii="Times New Roman" w:hAnsi="Times New Roman" w:cs="Times New Roman"/>
                <w:sz w:val="24"/>
                <w:szCs w:val="24"/>
                <w:lang w:val="en-US" w:eastAsia="zh-CN"/>
              </w:rPr>
              <w:t>6</w:t>
            </w:r>
            <w:r>
              <w:rPr>
                <w:rFonts w:ascii="Times New Roman" w:hAnsi="Times New Roman" w:eastAsia="宋体" w:cs="Times New Roman"/>
                <w:sz w:val="24"/>
                <w:szCs w:val="24"/>
              </w:rPr>
              <w:t>]），无法反映逐时电力碳排放的动态波动。研究表明，不同时段的边际碳排放因子差异可达3~5倍[</w:t>
            </w:r>
            <w:r>
              <w:rPr>
                <w:rFonts w:hint="eastAsia" w:ascii="Times New Roman" w:hAnsi="Times New Roman" w:cs="Times New Roman"/>
                <w:sz w:val="24"/>
                <w:szCs w:val="24"/>
                <w:lang w:val="en-US" w:eastAsia="zh-CN"/>
              </w:rPr>
              <w:t>7</w:t>
            </w:r>
            <w:r>
              <w:rPr>
                <w:rFonts w:ascii="Times New Roman" w:hAnsi="Times New Roman" w:eastAsia="宋体" w:cs="Times New Roman"/>
                <w:sz w:val="24"/>
                <w:szCs w:val="24"/>
              </w:rPr>
              <w:t>]，固定因子导致调度决策的碳减排效果评估严重失真。</w:t>
            </w:r>
          </w:p>
          <w:p w14:paraId="0FF944F0">
            <w:pPr>
              <w:spacing w:after="60" w:line="360" w:lineRule="auto"/>
              <w:ind w:firstLine="480"/>
              <w:jc w:val="both"/>
            </w:pPr>
            <w:r>
              <w:rPr>
                <w:rFonts w:ascii="Times New Roman" w:hAnsi="Times New Roman" w:eastAsia="宋体" w:cs="Times New Roman"/>
                <w:b/>
                <w:bCs/>
                <w:sz w:val="24"/>
                <w:szCs w:val="24"/>
              </w:rPr>
              <w:t>痛点三：模块间缺乏闭环联动。</w:t>
            </w:r>
            <w:r>
              <w:rPr>
                <w:rFonts w:ascii="Times New Roman" w:hAnsi="Times New Roman" w:eastAsia="宋体" w:cs="Times New Roman"/>
                <w:sz w:val="24"/>
                <w:szCs w:val="24"/>
              </w:rPr>
              <w:t>负荷预测、储能调度与碳核算往往独立运行，预测误差无法反馈至调度策略，调度结果无法实时支撑碳核算，形成了信息孤岛。这种割裂状态使得系统的整体优化效果远不及各模块理论最优之和。</w:t>
            </w:r>
          </w:p>
          <w:p w14:paraId="3DA50E1B">
            <w:pPr>
              <w:pStyle w:val="4"/>
              <w:keepNext/>
              <w:keepLines/>
              <w:spacing w:before="180" w:after="100"/>
              <w:rPr>
                <w:color w:val="000000" w:themeColor="text1"/>
                <w14:textFill>
                  <w14:solidFill>
                    <w14:schemeClr w14:val="tx1"/>
                  </w14:solidFill>
                </w14:textFill>
              </w:rPr>
            </w:pPr>
            <w:r>
              <w:rPr>
                <w:rFonts w:ascii="Times New Roman" w:hAnsi="Times New Roman" w:eastAsia="宋体" w:cs="Times New Roman"/>
                <w:b/>
                <w:bCs/>
                <w:color w:val="000000" w:themeColor="text1"/>
                <w:sz w:val="28"/>
                <w:szCs w:val="28"/>
                <w14:textFill>
                  <w14:solidFill>
                    <w14:schemeClr w14:val="tx1"/>
                  </w14:solidFill>
                </w14:textFill>
              </w:rPr>
              <w:t>2.3 项目意义</w:t>
            </w:r>
          </w:p>
          <w:p w14:paraId="4A9587B1">
            <w:pPr>
              <w:spacing w:after="60" w:line="360" w:lineRule="auto"/>
              <w:ind w:firstLine="480"/>
              <w:jc w:val="both"/>
              <w:rPr>
                <w:rFonts w:ascii="黑体" w:hAnsi="黑体" w:eastAsia="黑体"/>
                <w:b/>
                <w:sz w:val="28"/>
              </w:rPr>
            </w:pPr>
            <w:r>
              <w:rPr>
                <w:rFonts w:ascii="Times New Roman" w:hAnsi="Times New Roman" w:eastAsia="宋体" w:cs="Times New Roman"/>
                <w:sz w:val="24"/>
                <w:szCs w:val="24"/>
              </w:rPr>
              <w:t>本项目在理论、技术和应用三个层面具有重要意义。理论层面，首次构建了电-碳双驱耦合优化范式，将碳排放因子从静态参数提升为动态决策变量，为污水处理领域提供了“预测-调度-核算”全链条闭环的理论框架。技术层面，开发了基于线性规划的高效求解引擎、</w:t>
            </w:r>
            <w:r>
              <w:rPr>
                <w:rFonts w:hint="eastAsia" w:ascii="Times New Roman" w:hAnsi="Times New Roman" w:eastAsia="宋体" w:cs="Times New Roman"/>
                <w:sz w:val="24"/>
                <w:szCs w:val="24"/>
              </w:rPr>
              <w:t>逐时动态碳排放因子构造方法、绿电溯源与时间搬运机制等关键技术</w:t>
            </w:r>
            <w:r>
              <w:rPr>
                <w:rFonts w:ascii="Times New Roman" w:hAnsi="Times New Roman" w:eastAsia="宋体" w:cs="Times New Roman"/>
                <w:sz w:val="24"/>
                <w:szCs w:val="24"/>
              </w:rPr>
              <w:t>，突破了传统非线性优化方法实时性差、碳核算粒度粗等技术瓶颈。应用层面，</w:t>
            </w:r>
            <w:r>
              <w:rPr>
                <w:rFonts w:hint="eastAsia" w:ascii="Times New Roman" w:hAnsi="Times New Roman" w:cs="Times New Roman"/>
                <w:sz w:val="24"/>
                <w:szCs w:val="24"/>
                <w:lang w:val="en-US" w:eastAsia="zh-CN"/>
              </w:rPr>
              <w:t>A污水处理厂</w:t>
            </w:r>
            <w:r>
              <w:rPr>
                <w:rFonts w:ascii="Times New Roman" w:hAnsi="Times New Roman" w:eastAsia="宋体" w:cs="Times New Roman"/>
                <w:sz w:val="24"/>
                <w:szCs w:val="24"/>
              </w:rPr>
              <w:t>形成了年省电费1143万元、投资回收期5.9年、年碳减排3496 tCO₂e的完整解决方案，为全国5200余座污水处理厂的低碳转型提供了可复制、可推广的工程化示范。</w:t>
            </w:r>
          </w:p>
        </w:tc>
      </w:tr>
      <w:tr w14:paraId="2A3DD3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690" w:type="dxa"/>
            <w:gridSpan w:val="3"/>
            <w:shd w:val="clear" w:color="auto" w:fill="auto"/>
            <w:vAlign w:val="center"/>
          </w:tcPr>
          <w:p w14:paraId="08A3458F">
            <w:pPr>
              <w:numPr>
                <w:ilvl w:val="0"/>
                <w:numId w:val="8"/>
              </w:numPr>
              <w:spacing w:before="120" w:after="120" w:line="360" w:lineRule="auto"/>
              <w:jc w:val="left"/>
              <w:rPr>
                <w:rFonts w:ascii="黑体" w:hAnsi="黑体" w:eastAsia="黑体"/>
                <w:b/>
                <w:sz w:val="28"/>
              </w:rPr>
            </w:pPr>
            <w:r>
              <w:rPr>
                <w:rFonts w:ascii="黑体" w:hAnsi="黑体" w:eastAsia="黑体"/>
                <w:b/>
                <w:sz w:val="28"/>
              </w:rPr>
              <w:t>国内外研究现状及发展动态分析（≤1000字）</w:t>
            </w:r>
          </w:p>
          <w:p w14:paraId="3C9F4B60">
            <w:pPr>
              <w:pStyle w:val="4"/>
              <w:keepNext/>
              <w:keepLines/>
              <w:spacing w:before="180" w:after="100"/>
              <w:rPr>
                <w:color w:val="000000" w:themeColor="text1"/>
                <w14:textFill>
                  <w14:solidFill>
                    <w14:schemeClr w14:val="tx1"/>
                  </w14:solidFill>
                </w14:textFill>
              </w:rPr>
            </w:pPr>
            <w:r>
              <w:rPr>
                <w:rFonts w:ascii="Times New Roman" w:hAnsi="Times New Roman" w:eastAsia="宋体" w:cs="Times New Roman"/>
                <w:b/>
                <w:bCs/>
                <w:color w:val="000000" w:themeColor="text1"/>
                <w:sz w:val="28"/>
                <w:szCs w:val="28"/>
                <w14:textFill>
                  <w14:solidFill>
                    <w14:schemeClr w14:val="tx1"/>
                  </w14:solidFill>
                </w14:textFill>
              </w:rPr>
              <w:t>3.1 负荷预测技术演进</w:t>
            </w:r>
          </w:p>
          <w:p w14:paraId="5445A9D7">
            <w:pPr>
              <w:spacing w:after="60" w:line="360" w:lineRule="auto"/>
              <w:ind w:firstLine="480"/>
              <w:jc w:val="both"/>
            </w:pPr>
            <w:r>
              <w:rPr>
                <w:rFonts w:ascii="Times New Roman" w:hAnsi="Times New Roman" w:eastAsia="宋体" w:cs="Times New Roman"/>
                <w:sz w:val="24"/>
                <w:szCs w:val="24"/>
              </w:rPr>
              <w:t>负荷预测是储能调度优化的基础。从方法演进看，短期负荷预测经历了从传统统计方法到深度学习的范式跃迁。早期以ARIMA为代表的时间序列模型依赖线性假设，难以捕捉污水厂负荷中非线性波动与日历效应[</w:t>
            </w:r>
            <w:r>
              <w:rPr>
                <w:rFonts w:hint="eastAsia" w:ascii="Times New Roman" w:hAnsi="Times New Roman" w:cs="Times New Roman"/>
                <w:sz w:val="24"/>
                <w:szCs w:val="24"/>
                <w:lang w:val="en-US" w:eastAsia="zh-CN"/>
              </w:rPr>
              <w:t>8</w:t>
            </w:r>
            <w:r>
              <w:rPr>
                <w:rFonts w:ascii="Times New Roman" w:hAnsi="Times New Roman" w:eastAsia="宋体" w:cs="Times New Roman"/>
                <w:sz w:val="24"/>
                <w:szCs w:val="24"/>
              </w:rPr>
              <w:t>]。随着计算能力的提升，LSTM以其长序列记忆优势被广泛应用于负荷预测领域[</w:t>
            </w:r>
            <w:r>
              <w:rPr>
                <w:rFonts w:hint="eastAsia" w:ascii="Times New Roman" w:hAnsi="Times New Roman" w:cs="Times New Roman"/>
                <w:sz w:val="24"/>
                <w:szCs w:val="24"/>
                <w:lang w:val="en-US" w:eastAsia="zh-CN"/>
              </w:rPr>
              <w:t>9</w:t>
            </w:r>
            <w:r>
              <w:rPr>
                <w:rFonts w:ascii="Times New Roman" w:hAnsi="Times New Roman" w:eastAsia="宋体" w:cs="Times New Roman"/>
                <w:sz w:val="24"/>
                <w:szCs w:val="24"/>
              </w:rPr>
              <w:t>]，Pelekis等[</w:t>
            </w:r>
            <w:r>
              <w:rPr>
                <w:rFonts w:hint="eastAsia" w:ascii="Times New Roman" w:hAnsi="Times New Roman" w:cs="Times New Roman"/>
                <w:sz w:val="24"/>
                <w:szCs w:val="24"/>
                <w:lang w:val="en-US" w:eastAsia="zh-CN"/>
              </w:rPr>
              <w:t>10</w:t>
            </w:r>
            <w:r>
              <w:rPr>
                <w:rFonts w:ascii="Times New Roman" w:hAnsi="Times New Roman" w:eastAsia="宋体" w:cs="Times New Roman"/>
                <w:sz w:val="24"/>
                <w:szCs w:val="24"/>
              </w:rPr>
              <w:t>]的对比评估表明深度学习模型在中长期预测中表现显著优于传统方法。近年来，Transformer架构凭借自注意力机制在长程依赖建模上展现出更强的能力[</w:t>
            </w:r>
            <w:r>
              <w:rPr>
                <w:rFonts w:hint="eastAsia" w:ascii="Times New Roman" w:hAnsi="Times New Roman" w:cs="Times New Roman"/>
                <w:sz w:val="24"/>
                <w:szCs w:val="24"/>
                <w:lang w:val="en-US" w:eastAsia="zh-CN"/>
              </w:rPr>
              <w:t>11</w:t>
            </w:r>
            <w:r>
              <w:rPr>
                <w:rFonts w:ascii="Times New Roman" w:hAnsi="Times New Roman" w:eastAsia="宋体" w:cs="Times New Roman"/>
                <w:sz w:val="24"/>
                <w:szCs w:val="24"/>
              </w:rPr>
              <w:t>]，Lim等提出的时序融合Transformer（TFT）进一步融合了变量选择与可解释性分析，成为多步预测的前沿方法[1</w:t>
            </w:r>
            <w:r>
              <w:rPr>
                <w:rFonts w:hint="eastAsia" w:ascii="Times New Roman" w:hAnsi="Times New Roman" w:cs="Times New Roman"/>
                <w:sz w:val="24"/>
                <w:szCs w:val="24"/>
                <w:lang w:val="en-US" w:eastAsia="zh-CN"/>
              </w:rPr>
              <w:t>2</w:t>
            </w:r>
            <w:r>
              <w:rPr>
                <w:rFonts w:ascii="Times New Roman" w:hAnsi="Times New Roman" w:eastAsia="宋体" w:cs="Times New Roman"/>
                <w:sz w:val="24"/>
                <w:szCs w:val="24"/>
              </w:rPr>
              <w:t>]。然而，上述深度学习方法对训练数据量和计算资源要求较高，在污水厂这类数据规模有限的场景中适用性受限。本项目</w:t>
            </w:r>
            <w:r>
              <w:rPr>
                <w:rFonts w:hint="eastAsia" w:ascii="Times New Roman" w:hAnsi="Times New Roman" w:cs="Times New Roman"/>
                <w:sz w:val="24"/>
                <w:szCs w:val="24"/>
                <w:lang w:val="en-US" w:eastAsia="zh-CN"/>
              </w:rPr>
              <w:t>由于历史负荷数据有限（一年左右），故</w:t>
            </w:r>
            <w:r>
              <w:rPr>
                <w:rFonts w:ascii="Times New Roman" w:hAnsi="Times New Roman" w:eastAsia="宋体" w:cs="Times New Roman"/>
                <w:sz w:val="24"/>
                <w:szCs w:val="24"/>
              </w:rPr>
              <w:t>采用</w:t>
            </w:r>
            <w:r>
              <w:rPr>
                <w:rFonts w:hint="eastAsia" w:ascii="Times New Roman" w:hAnsi="Times New Roman" w:cs="Times New Roman"/>
                <w:sz w:val="24"/>
                <w:szCs w:val="24"/>
                <w:lang w:val="en-US" w:eastAsia="zh-CN"/>
              </w:rPr>
              <w:t>更适合的</w:t>
            </w:r>
            <w:r>
              <w:rPr>
                <w:rFonts w:ascii="Times New Roman" w:hAnsi="Times New Roman" w:eastAsia="宋体" w:cs="Times New Roman"/>
                <w:sz w:val="24"/>
                <w:szCs w:val="24"/>
              </w:rPr>
              <w:t>Holt-Winters为主力模型，辅以两阶段解耦策略（自适应窗口日总量预测+KNN模板匹配逐时分配），在保持高精度的同时兼顾工程可部署性。</w:t>
            </w:r>
          </w:p>
          <w:p w14:paraId="11F832F8">
            <w:pPr>
              <w:pStyle w:val="4"/>
              <w:keepNext/>
              <w:keepLines/>
              <w:spacing w:before="180" w:after="100"/>
              <w:rPr>
                <w:color w:val="000000" w:themeColor="text1"/>
                <w14:textFill>
                  <w14:solidFill>
                    <w14:schemeClr w14:val="tx1"/>
                  </w14:solidFill>
                </w14:textFill>
              </w:rPr>
            </w:pPr>
            <w:r>
              <w:rPr>
                <w:rFonts w:ascii="Times New Roman" w:hAnsi="Times New Roman" w:eastAsia="宋体" w:cs="Times New Roman"/>
                <w:b/>
                <w:bCs/>
                <w:color w:val="000000" w:themeColor="text1"/>
                <w:sz w:val="28"/>
                <w:szCs w:val="28"/>
                <w14:textFill>
                  <w14:solidFill>
                    <w14:schemeClr w14:val="tx1"/>
                  </w14:solidFill>
                </w14:textFill>
              </w:rPr>
              <w:t>3.2 储能优化调度方法</w:t>
            </w:r>
          </w:p>
          <w:p w14:paraId="5C814E40">
            <w:pPr>
              <w:spacing w:after="60" w:line="360" w:lineRule="auto"/>
              <w:ind w:firstLine="480"/>
              <w:jc w:val="both"/>
              <w:rPr>
                <w:rFonts w:ascii="Times New Roman" w:hAnsi="Times New Roman" w:eastAsia="宋体" w:cs="Times New Roman"/>
                <w:sz w:val="24"/>
                <w:szCs w:val="24"/>
              </w:rPr>
            </w:pPr>
            <w:r>
              <w:rPr>
                <w:rFonts w:ascii="Times New Roman" w:hAnsi="Times New Roman" w:eastAsia="宋体" w:cs="Times New Roman"/>
                <w:sz w:val="24"/>
                <w:szCs w:val="24"/>
              </w:rPr>
              <w:t>储能系统优化调度是新型电力系统研究的核心课题之一。魏一鸣等[</w:t>
            </w:r>
            <w:r>
              <w:rPr>
                <w:rFonts w:hint="eastAsia" w:ascii="Times New Roman" w:hAnsi="Times New Roman" w:cs="Times New Roman"/>
                <w:sz w:val="24"/>
                <w:szCs w:val="24"/>
                <w:lang w:val="en-US" w:eastAsia="zh-CN"/>
              </w:rPr>
              <w:t>5</w:t>
            </w:r>
            <w:r>
              <w:rPr>
                <w:rFonts w:ascii="Times New Roman" w:hAnsi="Times New Roman" w:eastAsia="宋体" w:cs="Times New Roman"/>
                <w:sz w:val="24"/>
                <w:szCs w:val="24"/>
              </w:rPr>
              <w:t>]系统综述了碳中和背景下储能优化调度的研究进展，指出动态规划（DP）、模型预测控制（MPC）和群体智能算法是三大主流方法。DP方法在离散状态空间中可求得全局最优解，但面临维数灾难；MPC通过滚动优化处理约束与不确定性，但计算复杂度高、实时性受限[1</w:t>
            </w:r>
            <w:r>
              <w:rPr>
                <w:rFonts w:hint="eastAsia" w:ascii="Times New Roman" w:hAnsi="Times New Roman" w:cs="Times New Roman"/>
                <w:sz w:val="24"/>
                <w:szCs w:val="24"/>
                <w:lang w:val="en-US" w:eastAsia="zh-CN"/>
              </w:rPr>
              <w:t>3</w:t>
            </w:r>
            <w:r>
              <w:rPr>
                <w:rFonts w:ascii="Times New Roman" w:hAnsi="Times New Roman" w:eastAsia="宋体" w:cs="Times New Roman"/>
                <w:sz w:val="24"/>
                <w:szCs w:val="24"/>
              </w:rPr>
              <w:t>]；Kennedy等提出的粒子群优化（PSO）算法[</w:t>
            </w:r>
            <w:r>
              <w:rPr>
                <w:rFonts w:hint="eastAsia" w:ascii="Times New Roman" w:hAnsi="Times New Roman" w:cs="Times New Roman"/>
                <w:sz w:val="24"/>
                <w:szCs w:val="24"/>
                <w:lang w:val="en-US" w:eastAsia="zh-CN"/>
              </w:rPr>
              <w:t>14</w:t>
            </w:r>
            <w:r>
              <w:rPr>
                <w:rFonts w:ascii="Times New Roman" w:hAnsi="Times New Roman" w:eastAsia="宋体" w:cs="Times New Roman"/>
                <w:sz w:val="24"/>
                <w:szCs w:val="24"/>
              </w:rPr>
              <w:t>]虽实现简单，但易陷入局部最优且难以保证约束满足性。任宇路等[</w:t>
            </w:r>
            <w:r>
              <w:rPr>
                <w:rFonts w:hint="eastAsia" w:ascii="Times New Roman" w:hAnsi="Times New Roman" w:cs="Times New Roman"/>
                <w:sz w:val="24"/>
                <w:szCs w:val="24"/>
                <w:lang w:val="en-US" w:eastAsia="zh-CN"/>
              </w:rPr>
              <w:t>15</w:t>
            </w:r>
            <w:r>
              <w:rPr>
                <w:rFonts w:ascii="Times New Roman" w:hAnsi="Times New Roman" w:eastAsia="宋体" w:cs="Times New Roman"/>
                <w:sz w:val="24"/>
                <w:szCs w:val="24"/>
              </w:rPr>
              <w:t>]在碳交易框架下研究了含氢储能的综合能源系统运行优化，但其非线性求解框架同样面临实时性挑战。相比之下，线性规划（LP）方法在目标函数与约束条件可线性化的场景中具有求解速度快、全局最优保证、可大规模部署等优势。</w:t>
            </w:r>
            <w:r>
              <w:rPr>
                <w:rFonts w:hint="eastAsia" w:ascii="Times New Roman" w:hAnsi="Times New Roman" w:eastAsia="宋体" w:cs="Times New Roman"/>
                <w:sz w:val="24"/>
                <w:szCs w:val="24"/>
              </w:rPr>
              <w:t>本项目采用 HiGHS 求解器的 linprog 框架，将充放电调度建模为线性规划问题，实测单日求解平均耗时约 8 毫秒、全年滚动求解合计约 3秒，满足工程实时性要求。</w:t>
            </w:r>
          </w:p>
          <w:p w14:paraId="64F6A774">
            <w:pPr>
              <w:pStyle w:val="4"/>
              <w:keepNext/>
              <w:keepLines/>
              <w:spacing w:before="180" w:after="100"/>
              <w:rPr>
                <w:rFonts w:ascii="Times New Roman" w:hAnsi="Times New Roman" w:eastAsia="宋体" w:cs="Times New Roman"/>
                <w:b/>
                <w:bCs/>
                <w:color w:val="000000" w:themeColor="text1"/>
                <w:sz w:val="28"/>
                <w:szCs w:val="28"/>
                <w14:textFill>
                  <w14:solidFill>
                    <w14:schemeClr w14:val="tx1"/>
                  </w14:solidFill>
                </w14:textFill>
              </w:rPr>
            </w:pPr>
            <w:r>
              <w:rPr>
                <w:rFonts w:ascii="Times New Roman" w:hAnsi="Times New Roman" w:eastAsia="宋体" w:cs="Times New Roman"/>
                <w:b/>
                <w:bCs/>
                <w:color w:val="000000" w:themeColor="text1"/>
                <w:sz w:val="28"/>
                <w:szCs w:val="28"/>
                <w14:textFill>
                  <w14:solidFill>
                    <w14:schemeClr w14:val="tx1"/>
                  </w14:solidFill>
                </w14:textFill>
              </w:rPr>
              <w:t>3.3 碳核算方法与标准体系</w:t>
            </w:r>
          </w:p>
          <w:p w14:paraId="20EB8EDE">
            <w:pPr>
              <w:spacing w:after="60" w:line="360" w:lineRule="auto"/>
              <w:ind w:firstLine="480"/>
              <w:jc w:val="both"/>
            </w:pPr>
            <w:r>
              <w:rPr>
                <w:rFonts w:ascii="Times New Roman" w:hAnsi="Times New Roman" w:eastAsia="宋体" w:cs="Times New Roman"/>
                <w:sz w:val="24"/>
                <w:szCs w:val="24"/>
              </w:rPr>
              <w:t>碳排放核算经历了从国际通用指南到行业专用标准的演进。IPCC 2006指南及其2023修订版[</w:t>
            </w:r>
            <w:r>
              <w:rPr>
                <w:rFonts w:hint="eastAsia" w:ascii="Times New Roman" w:hAnsi="Times New Roman" w:cs="Times New Roman"/>
                <w:sz w:val="24"/>
                <w:szCs w:val="24"/>
                <w:lang w:val="en-US" w:eastAsia="zh-CN"/>
              </w:rPr>
              <w:t>16</w:t>
            </w:r>
            <w:r>
              <w:rPr>
                <w:rFonts w:ascii="Times New Roman" w:hAnsi="Times New Roman" w:eastAsia="宋体" w:cs="Times New Roman"/>
                <w:sz w:val="24"/>
                <w:szCs w:val="24"/>
              </w:rPr>
              <w:t>]为国家温室气体清单编制提供了方法学基础；WRI/WBCSD发布的《温室气体议定书》[17]确立了范围一、二、三的核算框架，成为企业碳核算的事实标准。在行业标准层面，GB/T 46725—2025《协同降碳绩效评价 城镇污水处理》[</w:t>
            </w:r>
            <w:r>
              <w:rPr>
                <w:rFonts w:hint="eastAsia" w:ascii="Times New Roman" w:hAnsi="Times New Roman" w:cs="Times New Roman"/>
                <w:sz w:val="24"/>
                <w:szCs w:val="24"/>
                <w:lang w:val="en-US" w:eastAsia="zh-CN"/>
              </w:rPr>
              <w:t>18</w:t>
            </w:r>
            <w:r>
              <w:rPr>
                <w:rFonts w:ascii="Times New Roman" w:hAnsi="Times New Roman" w:eastAsia="宋体" w:cs="Times New Roman"/>
                <w:sz w:val="24"/>
                <w:szCs w:val="24"/>
              </w:rPr>
              <w:t>]首次将协同降碳理念引入污水处理行业；T/CRSUD 001-2023《城镇污水处理厂碳排放核算标准》[</w:t>
            </w:r>
            <w:r>
              <w:rPr>
                <w:rFonts w:hint="eastAsia" w:ascii="Times New Roman" w:hAnsi="Times New Roman" w:cs="Times New Roman"/>
                <w:sz w:val="24"/>
                <w:szCs w:val="24"/>
                <w:lang w:val="en-US" w:eastAsia="zh-CN"/>
              </w:rPr>
              <w:t>19</w:t>
            </w:r>
            <w:r>
              <w:rPr>
                <w:rFonts w:ascii="Times New Roman" w:hAnsi="Times New Roman" w:eastAsia="宋体" w:cs="Times New Roman"/>
                <w:sz w:val="24"/>
                <w:szCs w:val="24"/>
              </w:rPr>
              <w:t>]提供了行业专用核算方法；T/GDES 97—2025[</w:t>
            </w:r>
            <w:r>
              <w:rPr>
                <w:rFonts w:hint="eastAsia" w:ascii="Times New Roman" w:hAnsi="Times New Roman" w:cs="Times New Roman"/>
                <w:sz w:val="24"/>
                <w:szCs w:val="24"/>
                <w:lang w:val="en-US" w:eastAsia="zh-CN"/>
              </w:rPr>
              <w:t>20</w:t>
            </w:r>
            <w:r>
              <w:rPr>
                <w:rFonts w:ascii="Times New Roman" w:hAnsi="Times New Roman" w:eastAsia="宋体" w:cs="Times New Roman"/>
                <w:sz w:val="24"/>
                <w:szCs w:val="24"/>
              </w:rPr>
              <w:t>]从产品碳足迹角度规范了污水处理的碳排放量化方法；REETC/TN033:2026[</w:t>
            </w:r>
            <w:r>
              <w:rPr>
                <w:rFonts w:hint="eastAsia" w:ascii="Times New Roman" w:hAnsi="Times New Roman" w:cs="Times New Roman"/>
                <w:sz w:val="24"/>
                <w:szCs w:val="24"/>
                <w:lang w:val="en-US" w:eastAsia="zh-CN"/>
              </w:rPr>
              <w:t>21</w:t>
            </w:r>
            <w:r>
              <w:rPr>
                <w:rFonts w:ascii="Times New Roman" w:hAnsi="Times New Roman" w:eastAsia="宋体" w:cs="Times New Roman"/>
                <w:sz w:val="24"/>
                <w:szCs w:val="24"/>
              </w:rPr>
              <w:t>]则针对储能系统建立了碳足迹核算指南；T/GDAEPI 49—2025[</w:t>
            </w:r>
            <w:r>
              <w:rPr>
                <w:rFonts w:hint="eastAsia" w:ascii="Times New Roman" w:hAnsi="Times New Roman" w:cs="Times New Roman"/>
                <w:sz w:val="24"/>
                <w:szCs w:val="24"/>
                <w:lang w:val="en-US" w:eastAsia="zh-CN"/>
              </w:rPr>
              <w:t>22</w:t>
            </w:r>
            <w:r>
              <w:rPr>
                <w:rFonts w:ascii="Times New Roman" w:hAnsi="Times New Roman" w:eastAsia="宋体" w:cs="Times New Roman"/>
                <w:sz w:val="24"/>
                <w:szCs w:val="24"/>
              </w:rPr>
              <w:t>]进一步规范了污水处理厂温室气体的直接排放监测与因子测算。然而，上述标准多为静态核算框架，缺乏与实时调度决策的动态耦合机制。</w:t>
            </w:r>
          </w:p>
          <w:p w14:paraId="419FB3E9">
            <w:pPr>
              <w:pStyle w:val="4"/>
              <w:keepNext/>
              <w:keepLines/>
              <w:spacing w:before="180" w:after="100"/>
              <w:rPr>
                <w:rFonts w:ascii="Times New Roman" w:hAnsi="Times New Roman" w:eastAsia="宋体" w:cs="Times New Roman"/>
                <w:b/>
                <w:bCs/>
                <w:color w:val="000000" w:themeColor="text1"/>
                <w:sz w:val="28"/>
                <w:szCs w:val="28"/>
                <w14:textFill>
                  <w14:solidFill>
                    <w14:schemeClr w14:val="tx1"/>
                  </w14:solidFill>
                </w14:textFill>
              </w:rPr>
            </w:pPr>
            <w:r>
              <w:rPr>
                <w:rFonts w:ascii="Times New Roman" w:hAnsi="Times New Roman" w:eastAsia="宋体" w:cs="Times New Roman"/>
                <w:b/>
                <w:bCs/>
                <w:color w:val="000000" w:themeColor="text1"/>
                <w:sz w:val="28"/>
                <w:szCs w:val="28"/>
                <w14:textFill>
                  <w14:solidFill>
                    <w14:schemeClr w14:val="tx1"/>
                  </w14:solidFill>
                </w14:textFill>
              </w:rPr>
              <w:t>3.4 污水厂光储协同技术研究</w:t>
            </w:r>
          </w:p>
          <w:p w14:paraId="2159E579">
            <w:pPr>
              <w:spacing w:after="60" w:line="360" w:lineRule="auto"/>
              <w:ind w:firstLine="480"/>
              <w:jc w:val="both"/>
            </w:pPr>
            <w:r>
              <w:rPr>
                <w:rFonts w:ascii="Times New Roman" w:hAnsi="Times New Roman" w:eastAsia="宋体" w:cs="Times New Roman"/>
                <w:sz w:val="24"/>
                <w:szCs w:val="24"/>
              </w:rPr>
              <w:t>近年来，光伏-储能协同供电在污水处理领域的应用逐步受到关注。专利CN121813468A[2</w:t>
            </w:r>
            <w:r>
              <w:rPr>
                <w:rFonts w:hint="eastAsia" w:ascii="Times New Roman" w:hAnsi="Times New Roman" w:cs="Times New Roman"/>
                <w:sz w:val="24"/>
                <w:szCs w:val="24"/>
                <w:lang w:val="en-US" w:eastAsia="zh-CN"/>
              </w:rPr>
              <w:t>3</w:t>
            </w:r>
            <w:r>
              <w:rPr>
                <w:rFonts w:ascii="Times New Roman" w:hAnsi="Times New Roman" w:eastAsia="宋体" w:cs="Times New Roman"/>
                <w:sz w:val="24"/>
                <w:szCs w:val="24"/>
              </w:rPr>
              <w:t>]公开了一种污水处理厂分布式光伏发电-储能协同供电系统及控制方法，提出了光伏与储能联合供电的架构设计。相关研究[2</w:t>
            </w:r>
            <w:r>
              <w:rPr>
                <w:rFonts w:hint="eastAsia" w:ascii="Times New Roman" w:hAnsi="Times New Roman" w:cs="Times New Roman"/>
                <w:sz w:val="24"/>
                <w:szCs w:val="24"/>
                <w:lang w:val="en-US" w:eastAsia="zh-CN"/>
              </w:rPr>
              <w:t>4</w:t>
            </w:r>
            <w:r>
              <w:rPr>
                <w:rFonts w:ascii="Times New Roman" w:hAnsi="Times New Roman" w:eastAsia="宋体" w:cs="Times New Roman"/>
                <w:sz w:val="24"/>
                <w:szCs w:val="24"/>
              </w:rPr>
              <w:t>]探讨了光伏并网供电在中小型污水站节能运行中的应用效果。然而，现有研究多聚焦于光储系统的容量配置与基础控制策略，缺乏将碳核算嵌入调度决策的系统性方法。</w:t>
            </w:r>
          </w:p>
          <w:p w14:paraId="67079A62">
            <w:pPr>
              <w:pStyle w:val="4"/>
              <w:keepNext/>
              <w:keepLines/>
              <w:spacing w:before="180" w:after="100"/>
              <w:rPr>
                <w:rFonts w:ascii="Times New Roman" w:hAnsi="Times New Roman" w:eastAsia="宋体" w:cs="Times New Roman"/>
                <w:b/>
                <w:bCs/>
                <w:color w:val="000000" w:themeColor="text1"/>
                <w:sz w:val="28"/>
                <w:szCs w:val="28"/>
                <w14:textFill>
                  <w14:solidFill>
                    <w14:schemeClr w14:val="tx1"/>
                  </w14:solidFill>
                </w14:textFill>
              </w:rPr>
            </w:pPr>
            <w:r>
              <w:rPr>
                <w:rFonts w:ascii="Times New Roman" w:hAnsi="Times New Roman" w:eastAsia="宋体" w:cs="Times New Roman"/>
                <w:b/>
                <w:bCs/>
                <w:color w:val="000000" w:themeColor="text1"/>
                <w:sz w:val="28"/>
                <w:szCs w:val="28"/>
                <w14:textFill>
                  <w14:solidFill>
                    <w14:schemeClr w14:val="tx1"/>
                  </w14:solidFill>
                </w14:textFill>
              </w:rPr>
              <w:t>3.5 本项目切入点</w:t>
            </w:r>
          </w:p>
          <w:p w14:paraId="4334421C">
            <w:pPr>
              <w:spacing w:after="60" w:line="360" w:lineRule="auto"/>
              <w:ind w:firstLine="480"/>
              <w:jc w:val="both"/>
              <w:rPr>
                <w:rFonts w:ascii="Times New Roman" w:hAnsi="Times New Roman" w:eastAsia="宋体" w:cs="Times New Roman"/>
                <w:sz w:val="24"/>
                <w:szCs w:val="24"/>
              </w:rPr>
            </w:pPr>
            <w:r>
              <w:rPr>
                <w:rFonts w:ascii="Times New Roman" w:hAnsi="Times New Roman" w:eastAsia="宋体" w:cs="Times New Roman"/>
                <w:sz w:val="24"/>
                <w:szCs w:val="24"/>
              </w:rPr>
              <w:t>综合以上分析，当前研究存在三个关键缺口：</w:t>
            </w:r>
          </w:p>
          <w:p w14:paraId="4B97A05B">
            <w:pPr>
              <w:numPr>
                <w:ilvl w:val="0"/>
                <w:numId w:val="9"/>
              </w:numPr>
              <w:spacing w:after="60" w:line="360" w:lineRule="auto"/>
              <w:ind w:firstLine="480"/>
              <w:jc w:val="both"/>
              <w:rPr>
                <w:rFonts w:ascii="Times New Roman" w:hAnsi="Times New Roman" w:eastAsia="宋体" w:cs="Times New Roman"/>
                <w:sz w:val="24"/>
                <w:szCs w:val="24"/>
              </w:rPr>
            </w:pPr>
            <w:r>
              <w:rPr>
                <w:rFonts w:ascii="Times New Roman" w:hAnsi="Times New Roman" w:eastAsia="宋体" w:cs="Times New Roman"/>
                <w:sz w:val="24"/>
                <w:szCs w:val="24"/>
              </w:rPr>
              <w:t>电碳耦合优化方面，现有储能调度方法以电价套利为单一目标，缺乏碳排放因子的动态嵌入机制；</w:t>
            </w:r>
          </w:p>
          <w:p w14:paraId="499C041A">
            <w:pPr>
              <w:numPr>
                <w:ilvl w:val="0"/>
                <w:numId w:val="0"/>
              </w:numPr>
              <w:spacing w:after="60" w:line="360" w:lineRule="auto"/>
              <w:ind w:left="480" w:leftChars="200" w:firstLine="0" w:firstLineChars="0"/>
              <w:jc w:val="both"/>
              <w:rPr>
                <w:rFonts w:ascii="黑体" w:hAnsi="黑体" w:eastAsia="黑体"/>
                <w:b/>
                <w:sz w:val="28"/>
              </w:rPr>
            </w:pPr>
            <w:r>
              <w:rPr>
                <w:rFonts w:ascii="Times New Roman" w:hAnsi="Times New Roman" w:eastAsia="宋体" w:cs="Times New Roman"/>
                <w:sz w:val="24"/>
                <w:szCs w:val="24"/>
              </w:rPr>
              <w:t>（2）碳核算方面，现行标准采用固定排放因子，无法支撑逐时级别的碳调度优化；（3）系统集成方面，预测、调度、核算三</w:t>
            </w:r>
            <w:bookmarkStart w:id="0" w:name="_GoBack"/>
            <w:bookmarkEnd w:id="0"/>
            <w:r>
              <w:rPr>
                <w:rFonts w:ascii="Times New Roman" w:hAnsi="Times New Roman" w:eastAsia="宋体" w:cs="Times New Roman"/>
                <w:sz w:val="24"/>
                <w:szCs w:val="24"/>
              </w:rPr>
              <w:t>模块缺乏闭环联动。本项目针对上述缺口，提出电-碳双驱耦合优化系统，实现三模块的有机集成与协同优化。</w:t>
            </w:r>
          </w:p>
        </w:tc>
      </w:tr>
      <w:tr w14:paraId="07A226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690" w:type="dxa"/>
            <w:gridSpan w:val="3"/>
            <w:shd w:val="clear" w:color="auto" w:fill="auto"/>
            <w:vAlign w:val="center"/>
          </w:tcPr>
          <w:p w14:paraId="2FA4E724">
            <w:pPr>
              <w:spacing w:before="120" w:after="120" w:line="360" w:lineRule="auto"/>
              <w:jc w:val="left"/>
              <w:rPr>
                <w:color w:val="0000FF"/>
              </w:rPr>
            </w:pPr>
            <w:r>
              <w:rPr>
                <w:rFonts w:ascii="黑体" w:hAnsi="黑体" w:eastAsia="黑体"/>
                <w:b/>
                <w:sz w:val="28"/>
              </w:rPr>
              <w:t>四、项目研究内容（≤5000字）</w:t>
            </w:r>
          </w:p>
        </w:tc>
      </w:tr>
      <w:tr w14:paraId="75C34E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690" w:type="dxa"/>
            <w:gridSpan w:val="3"/>
            <w:shd w:val="clear" w:color="auto" w:fill="auto"/>
            <w:vAlign w:val="center"/>
          </w:tcPr>
          <w:p w14:paraId="07BE885C">
            <w:pPr>
              <w:spacing w:after="60" w:line="360" w:lineRule="auto"/>
              <w:ind w:firstLine="480"/>
              <w:jc w:val="both"/>
              <w:rPr>
                <w:rFonts w:ascii="Times New Roman" w:hAnsi="Times New Roman" w:eastAsia="宋体" w:cs="Times New Roman"/>
                <w:sz w:val="24"/>
                <w:szCs w:val="24"/>
              </w:rPr>
            </w:pPr>
            <w:r>
              <w:rPr>
                <w:rFonts w:ascii="Times New Roman" w:hAnsi="Times New Roman" w:eastAsia="宋体" w:cs="Times New Roman"/>
                <w:sz w:val="24"/>
                <w:szCs w:val="24"/>
              </w:rPr>
              <w:t>本项目围绕“电-碳双驱耦合优化”核心理念，构建由负荷预测（模块一）、储能优化调度（模块二）和碳核算（模块三）组成的三位一体智能系统。以下逐模块阐述研究内容，并给出零碳效益测算与系统集成方案。</w:t>
            </w:r>
          </w:p>
          <w:p w14:paraId="3ACE8C2C">
            <w:pPr>
              <w:spacing w:after="60" w:line="360" w:lineRule="auto"/>
              <w:jc w:val="center"/>
              <w:rPr>
                <w:rFonts w:ascii="Times New Roman" w:hAnsi="Times New Roman" w:eastAsia="宋体" w:cs="Times New Roman"/>
                <w:sz w:val="24"/>
                <w:szCs w:val="24"/>
              </w:rPr>
            </w:pPr>
            <w:r>
              <w:drawing>
                <wp:inline distT="0" distB="0" distL="114300" distR="114300">
                  <wp:extent cx="5098415" cy="2756535"/>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6"/>
                          <a:srcRect l="4080" r="4160" b="10532"/>
                          <a:stretch>
                            <a:fillRect/>
                          </a:stretch>
                        </pic:blipFill>
                        <pic:spPr>
                          <a:xfrm>
                            <a:off x="0" y="0"/>
                            <a:ext cx="5098415" cy="2756535"/>
                          </a:xfrm>
                          <a:prstGeom prst="rect">
                            <a:avLst/>
                          </a:prstGeom>
                          <a:noFill/>
                          <a:ln>
                            <a:noFill/>
                          </a:ln>
                        </pic:spPr>
                      </pic:pic>
                    </a:graphicData>
                  </a:graphic>
                </wp:inline>
              </w:drawing>
            </w:r>
          </w:p>
          <w:p w14:paraId="585C86A3">
            <w:pPr>
              <w:pStyle w:val="4"/>
              <w:keepNext/>
              <w:keepLines/>
              <w:spacing w:before="180" w:after="100"/>
            </w:pPr>
            <w:r>
              <w:rPr>
                <w:rFonts w:ascii="Times New Roman" w:hAnsi="Times New Roman" w:eastAsia="宋体" w:cs="Times New Roman"/>
                <w:b/>
                <w:bCs/>
                <w:sz w:val="28"/>
                <w:szCs w:val="28"/>
              </w:rPr>
              <w:t>4.1 模块一：两阶段解耦负荷预测</w:t>
            </w:r>
          </w:p>
          <w:p w14:paraId="61B38B79">
            <w:pPr>
              <w:pStyle w:val="5"/>
              <w:bidi w:val="0"/>
            </w:pPr>
            <w:r>
              <w:t xml:space="preserve">4.1.1 </w:t>
            </w:r>
            <w:r>
              <w:rPr>
                <w:rFonts w:hint="eastAsia" w:ascii="宋体" w:hAnsi="宋体" w:eastAsia="宋体" w:cs="宋体"/>
              </w:rPr>
              <w:t>架构设计</w:t>
            </w:r>
          </w:p>
          <w:p w14:paraId="32F8CDA5">
            <w:pPr>
              <w:spacing w:after="60" w:line="360" w:lineRule="auto"/>
              <w:ind w:firstLine="480"/>
              <w:jc w:val="both"/>
            </w:pPr>
            <w:r>
              <w:rPr>
                <w:rFonts w:ascii="Times New Roman" w:hAnsi="Times New Roman" w:eastAsia="宋体" w:cs="Times New Roman"/>
                <w:sz w:val="24"/>
                <w:szCs w:val="24"/>
              </w:rPr>
              <w:t>针对污水处理厂日负荷曲线呈现显著周期性但逐时波动复杂的特征，本项目提出两阶段解耦预测架构。阶段一负责日总量预测：采用周季节性分解提取周期性趋势分量，结合均值回归修正消除长期漂移，叠加日历修正（工作日/节假日/调休日差异）与天气修正（温度、湿度对生化处理负荷的影响），输出次日</w:t>
            </w:r>
            <w:r>
              <w:rPr>
                <w:rFonts w:hint="eastAsia" w:ascii="Times New Roman" w:hAnsi="Times New Roman" w:cs="Times New Roman"/>
                <w:sz w:val="24"/>
                <w:szCs w:val="24"/>
                <w:lang w:val="en-US" w:eastAsia="zh-CN"/>
              </w:rPr>
              <w:t>及未来多日</w:t>
            </w:r>
            <w:r>
              <w:rPr>
                <w:rFonts w:ascii="Times New Roman" w:hAnsi="Times New Roman" w:eastAsia="宋体" w:cs="Times New Roman"/>
                <w:sz w:val="24"/>
                <w:szCs w:val="24"/>
              </w:rPr>
              <w:t>电总量的高精度估计。阶段二负责逐时分配：采用KNN模板匹配算法，在历史负荷库中检索与预测日特征（星期类型、天气类别、温度区间）最相似的K条日曲线，以加权平均方式生成24h逐时负荷分布。</w:t>
            </w:r>
          </w:p>
          <w:p w14:paraId="1C4A0A5B">
            <w:pPr>
              <w:pStyle w:val="5"/>
              <w:keepNext/>
              <w:keepLines/>
              <w:spacing w:before="140" w:after="80"/>
            </w:pPr>
            <w:r>
              <w:rPr>
                <w:rFonts w:ascii="Times New Roman" w:hAnsi="Times New Roman" w:eastAsia="宋体" w:cs="Times New Roman"/>
                <w:b/>
                <w:bCs/>
                <w:sz w:val="26"/>
                <w:szCs w:val="26"/>
              </w:rPr>
              <w:t>4.1.2 模型选择与训练</w:t>
            </w:r>
          </w:p>
          <w:p w14:paraId="46CFACA2">
            <w:pPr>
              <w:spacing w:after="60" w:line="360" w:lineRule="auto"/>
              <w:ind w:left="480" w:leftChars="200" w:firstLine="0" w:firstLineChars="0"/>
              <w:jc w:val="both"/>
              <w:rPr>
                <w:rFonts w:ascii="Times New Roman" w:hAnsi="Times New Roman" w:eastAsia="宋体" w:cs="Times New Roman"/>
                <w:sz w:val="24"/>
                <w:szCs w:val="24"/>
              </w:rPr>
            </w:pPr>
            <w:r>
              <w:rPr>
                <w:rFonts w:ascii="Times New Roman" w:hAnsi="Times New Roman" w:eastAsia="宋体" w:cs="Times New Roman"/>
                <w:sz w:val="24"/>
                <w:szCs w:val="24"/>
              </w:rPr>
              <w:t>阶段一的主力模型选用Holt-Winters指数平滑（阻尼趋势+周季节性），理由如下：（1）污水厂日负荷呈现显著的周周期性与缓变趋势，Holt-Winters三重指数平滑（水平+趋势+季节性）天然适配此类结构，无需复杂特征工程即可捕捉周期性规律；</w:t>
            </w:r>
          </w:p>
          <w:p w14:paraId="236A46CA">
            <w:pPr>
              <w:numPr>
                <w:ilvl w:val="0"/>
                <w:numId w:val="0"/>
              </w:numPr>
              <w:spacing w:after="60" w:line="360" w:lineRule="auto"/>
              <w:ind w:firstLine="480" w:firstLineChars="200"/>
              <w:jc w:val="both"/>
              <w:rPr>
                <w:rFonts w:hint="eastAsia" w:ascii="Times New Roman" w:hAnsi="Times New Roman" w:eastAsia="宋体" w:cs="Times New Roman"/>
                <w:sz w:val="24"/>
                <w:szCs w:val="24"/>
              </w:rPr>
            </w:pP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2</w:t>
            </w:r>
            <w:r>
              <w:rPr>
                <w:rFonts w:hint="eastAsia" w:ascii="Times New Roman" w:hAnsi="Times New Roman" w:cs="Times New Roman"/>
                <w:sz w:val="24"/>
                <w:szCs w:val="24"/>
                <w:lang w:eastAsia="zh-CN"/>
              </w:rPr>
              <w:t>）</w:t>
            </w:r>
            <w:r>
              <w:rPr>
                <w:rFonts w:hint="eastAsia" w:ascii="Times New Roman" w:hAnsi="Times New Roman" w:eastAsia="宋体" w:cs="Times New Roman"/>
                <w:sz w:val="24"/>
                <w:szCs w:val="24"/>
              </w:rPr>
              <w:t>与 LSTM[</w:t>
            </w:r>
            <w:r>
              <w:rPr>
                <w:rFonts w:hint="eastAsia" w:ascii="Times New Roman" w:hAnsi="Times New Roman" w:cs="Times New Roman"/>
                <w:sz w:val="24"/>
                <w:szCs w:val="24"/>
                <w:lang w:val="en-US" w:eastAsia="zh-CN"/>
              </w:rPr>
              <w:t>9</w:t>
            </w:r>
            <w:r>
              <w:rPr>
                <w:rFonts w:hint="eastAsia" w:ascii="Times New Roman" w:hAnsi="Times New Roman" w:eastAsia="宋体" w:cs="Times New Roman"/>
                <w:sz w:val="24"/>
                <w:szCs w:val="24"/>
              </w:rPr>
              <w:t>]、Transformer[</w:t>
            </w:r>
            <w:r>
              <w:rPr>
                <w:rFonts w:hint="eastAsia" w:ascii="Times New Roman" w:hAnsi="Times New Roman" w:cs="Times New Roman"/>
                <w:sz w:val="24"/>
                <w:szCs w:val="24"/>
                <w:lang w:val="en-US" w:eastAsia="zh-CN"/>
              </w:rPr>
              <w:t>11</w:t>
            </w:r>
            <w:r>
              <w:rPr>
                <w:rFonts w:hint="eastAsia" w:ascii="Times New Roman" w:hAnsi="Times New Roman" w:eastAsia="宋体" w:cs="Times New Roman"/>
                <w:sz w:val="24"/>
                <w:szCs w:val="24"/>
              </w:rPr>
              <w:t>] 等深度学习模型相比，Holt-Winters仅需估计少量平滑参数，无需大规模训练样本即可稳健拟合，更适合污水厂逐时负荷的工程化预测。</w:t>
            </w:r>
          </w:p>
          <w:p w14:paraId="1F3A5574">
            <w:pPr>
              <w:numPr>
                <w:ilvl w:val="0"/>
                <w:numId w:val="0"/>
              </w:numPr>
              <w:spacing w:after="60" w:line="360" w:lineRule="auto"/>
              <w:ind w:firstLine="480" w:firstLineChars="200"/>
              <w:jc w:val="both"/>
            </w:pPr>
            <w:r>
              <w:rPr>
                <w:rFonts w:ascii="Times New Roman" w:hAnsi="Times New Roman" w:eastAsia="宋体" w:cs="Times New Roman"/>
                <w:sz w:val="24"/>
                <w:szCs w:val="24"/>
              </w:rPr>
              <w:t>（3）算法为解析递推形式，训练与推理均为常数级计算，部署轻量、可解释性强，满足日前调度的实时性要求。</w:t>
            </w:r>
          </w:p>
          <w:p w14:paraId="677B25AA">
            <w:pPr>
              <w:spacing w:after="60" w:line="360" w:lineRule="auto"/>
              <w:ind w:firstLine="480"/>
              <w:jc w:val="both"/>
            </w:pPr>
            <w:r>
              <w:rPr>
                <w:rFonts w:ascii="Times New Roman" w:hAnsi="Times New Roman" w:eastAsia="宋体" w:cs="Times New Roman"/>
                <w:sz w:val="24"/>
                <w:szCs w:val="24"/>
              </w:rPr>
              <w:t>模型在验证集上的关键性能指标为：平均绝对百分比误差（MAPE）4.61%，决定系数R²=0.878，达到了工程应用所需的精度要求。</w:t>
            </w:r>
          </w:p>
          <w:p w14:paraId="4E96C80D">
            <w:pPr>
              <w:pStyle w:val="5"/>
              <w:keepNext/>
              <w:keepLines/>
              <w:spacing w:before="140" w:after="80"/>
            </w:pPr>
            <w:r>
              <w:rPr>
                <w:rFonts w:ascii="Times New Roman" w:hAnsi="Times New Roman" w:eastAsia="宋体" w:cs="Times New Roman"/>
                <w:b/>
                <w:bCs/>
                <w:sz w:val="26"/>
                <w:szCs w:val="26"/>
              </w:rPr>
              <w:t>4.1.3 预测结果输出</w:t>
            </w:r>
          </w:p>
          <w:p w14:paraId="19895644">
            <w:pPr>
              <w:spacing w:after="60" w:line="360" w:lineRule="auto"/>
              <w:ind w:firstLine="480"/>
              <w:jc w:val="both"/>
            </w:pPr>
            <w:r>
              <w:rPr>
                <w:rFonts w:ascii="Times New Roman" w:hAnsi="Times New Roman" w:eastAsia="宋体" w:cs="Times New Roman"/>
                <w:sz w:val="24"/>
                <w:szCs w:val="24"/>
              </w:rPr>
              <w:t>模块一的输出为次日</w:t>
            </w:r>
            <w:r>
              <w:rPr>
                <w:rFonts w:hint="eastAsia" w:ascii="Times New Roman" w:hAnsi="Times New Roman" w:cs="Times New Roman"/>
                <w:sz w:val="24"/>
                <w:szCs w:val="24"/>
                <w:lang w:val="en-US" w:eastAsia="zh-CN"/>
              </w:rPr>
              <w:t>及未来多日</w:t>
            </w:r>
            <w:r>
              <w:rPr>
                <w:rFonts w:ascii="Times New Roman" w:hAnsi="Times New Roman" w:eastAsia="宋体" w:cs="Times New Roman"/>
                <w:sz w:val="24"/>
                <w:szCs w:val="24"/>
              </w:rPr>
              <w:t>24点逐时负荷预测值P_load(t)（t=1,2,...,24），作为模块二优化调度的核心输入。预测精度直接决定了储能充放电计划的可靠性，MAPE=4.61%意味着日均负荷预测相对误差控制在5%以内，对调度经济性的影响在可接受范围内。</w:t>
            </w:r>
          </w:p>
          <w:p w14:paraId="4567F049">
            <w:pPr>
              <w:pStyle w:val="4"/>
              <w:keepNext/>
              <w:keepLines/>
              <w:spacing w:before="180" w:after="100"/>
            </w:pPr>
            <w:r>
              <w:rPr>
                <w:rFonts w:ascii="Times New Roman" w:hAnsi="Times New Roman" w:eastAsia="宋体" w:cs="Times New Roman"/>
                <w:b/>
                <w:bCs/>
                <w:sz w:val="28"/>
                <w:szCs w:val="28"/>
              </w:rPr>
              <w:t>4.2 模块二：linprog线性规划</w:t>
            </w:r>
            <w:r>
              <w:rPr>
                <w:rFonts w:hint="eastAsia" w:ascii="Times New Roman" w:hAnsi="Times New Roman" w:eastAsia="宋体" w:cs="Times New Roman"/>
                <w:b/>
                <w:bCs/>
                <w:sz w:val="28"/>
                <w:szCs w:val="28"/>
                <w:lang w:val="en-US" w:eastAsia="zh-CN"/>
              </w:rPr>
              <w:t>储能</w:t>
            </w:r>
            <w:r>
              <w:rPr>
                <w:rFonts w:ascii="Times New Roman" w:hAnsi="Times New Roman" w:eastAsia="宋体" w:cs="Times New Roman"/>
                <w:b/>
                <w:bCs/>
                <w:sz w:val="28"/>
                <w:szCs w:val="28"/>
              </w:rPr>
              <w:t>优化调度</w:t>
            </w:r>
          </w:p>
          <w:p w14:paraId="271008AE">
            <w:pPr>
              <w:pStyle w:val="5"/>
              <w:keepNext/>
              <w:keepLines/>
              <w:spacing w:before="140" w:after="80"/>
            </w:pPr>
            <w:r>
              <w:rPr>
                <w:rFonts w:ascii="Times New Roman" w:hAnsi="Times New Roman" w:eastAsia="宋体" w:cs="Times New Roman"/>
                <w:b/>
                <w:bCs/>
                <w:sz w:val="26"/>
                <w:szCs w:val="26"/>
              </w:rPr>
              <w:t>4.2.1 系统配置</w:t>
            </w:r>
          </w:p>
          <w:p w14:paraId="68D180A6">
            <w:pPr>
              <w:spacing w:after="60" w:line="360" w:lineRule="auto"/>
              <w:ind w:firstLine="480"/>
              <w:jc w:val="both"/>
            </w:pPr>
            <w:r>
              <w:rPr>
                <w:rFonts w:ascii="Times New Roman" w:hAnsi="Times New Roman" w:eastAsia="宋体" w:cs="Times New Roman"/>
                <w:sz w:val="24"/>
                <w:szCs w:val="24"/>
              </w:rPr>
              <w:t>本项目的储能-光伏系统配置基于污水厂实际场景约束确定。储能系统选用宁德时代EnerC 20尺集装箱式磷酸铁锂储能系统，额定容量16MWh，额定功率8MW，往返效率η=90%。光伏系统采用污水池柔性光伏方案（预应力柔性支架），受</w:t>
            </w:r>
            <w:r>
              <w:rPr>
                <w:rFonts w:hint="eastAsia" w:ascii="Times New Roman" w:hAnsi="Times New Roman" w:cs="Times New Roman"/>
                <w:sz w:val="24"/>
                <w:szCs w:val="24"/>
                <w:lang w:val="en-US" w:eastAsia="zh-CN"/>
              </w:rPr>
              <w:t>污水厂</w:t>
            </w:r>
            <w:r>
              <w:rPr>
                <w:rFonts w:ascii="Times New Roman" w:hAnsi="Times New Roman" w:eastAsia="宋体" w:cs="Times New Roman"/>
                <w:sz w:val="24"/>
                <w:szCs w:val="24"/>
              </w:rPr>
              <w:t>30公顷</w:t>
            </w:r>
            <w:r>
              <w:rPr>
                <w:rFonts w:hint="eastAsia" w:ascii="Times New Roman" w:hAnsi="Times New Roman" w:cs="Times New Roman"/>
                <w:sz w:val="24"/>
                <w:szCs w:val="24"/>
                <w:lang w:val="en-US" w:eastAsia="zh-CN"/>
              </w:rPr>
              <w:t>总厂区面积约束，</w:t>
            </w:r>
            <w:r>
              <w:rPr>
                <w:rFonts w:ascii="Times New Roman" w:hAnsi="Times New Roman" w:eastAsia="宋体" w:cs="Times New Roman"/>
                <w:sz w:val="24"/>
                <w:szCs w:val="24"/>
              </w:rPr>
              <w:t>池顶</w:t>
            </w: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车棚和厂房顶部面积有限，还要考虑到光伏板间距，发电效率和安全性等问题</w:t>
            </w:r>
            <w:r>
              <w:rPr>
                <w:rFonts w:ascii="Times New Roman" w:hAnsi="Times New Roman" w:eastAsia="宋体" w:cs="Times New Roman"/>
                <w:sz w:val="24"/>
                <w:szCs w:val="24"/>
              </w:rPr>
              <w:t>，总装机容量10.5MW。并网模式采用“自发自用、余电上网”，绿电占比可达13.4%。储能设备采用C4/C5防腐分级设计，以适应污水处理厂高湿度、高腐蚀性气体环境。</w:t>
            </w:r>
          </w:p>
          <w:p w14:paraId="4A823F7D">
            <w:pPr>
              <w:pStyle w:val="5"/>
              <w:keepNext/>
              <w:keepLines/>
              <w:spacing w:before="140" w:after="80"/>
            </w:pPr>
            <w:r>
              <w:rPr>
                <w:rFonts w:ascii="Times New Roman" w:hAnsi="Times New Roman" w:eastAsia="宋体" w:cs="Times New Roman"/>
                <w:b/>
                <w:bCs/>
                <w:sz w:val="26"/>
                <w:szCs w:val="26"/>
              </w:rPr>
              <w:t>4.2.2 线性规划建模</w:t>
            </w:r>
          </w:p>
          <w:p w14:paraId="33EA03D9">
            <w:pPr>
              <w:spacing w:after="60" w:line="360" w:lineRule="auto"/>
              <w:ind w:firstLine="480"/>
              <w:jc w:val="both"/>
            </w:pPr>
            <w:r>
              <w:rPr>
                <w:rFonts w:ascii="Times New Roman" w:hAnsi="Times New Roman" w:eastAsia="宋体" w:cs="Times New Roman"/>
                <w:sz w:val="24"/>
                <w:szCs w:val="24"/>
              </w:rPr>
              <w:t>调度问题的核心是在满足负荷需求、储能物理约束和电网交互约束的前提下，实现经济成本与碳排放的双极小化。本项目将其建模为线性规划（LP）问题，采用HiGHS求解器的linprog接口求解。</w:t>
            </w:r>
          </w:p>
          <w:p w14:paraId="4272B46A">
            <w:pPr>
              <w:spacing w:after="60" w:line="360" w:lineRule="auto"/>
              <w:ind w:firstLine="480"/>
              <w:jc w:val="both"/>
            </w:pPr>
            <w:r>
              <w:rPr>
                <w:rFonts w:ascii="Times New Roman" w:hAnsi="Times New Roman" w:eastAsia="宋体" w:cs="Times New Roman"/>
                <w:b/>
                <w:bCs/>
                <w:sz w:val="24"/>
                <w:szCs w:val="24"/>
              </w:rPr>
              <w:t>决策变量：</w:t>
            </w:r>
            <w:r>
              <w:rPr>
                <w:rFonts w:ascii="Times New Roman" w:hAnsi="Times New Roman" w:eastAsia="宋体" w:cs="Times New Roman"/>
                <w:sz w:val="24"/>
                <w:szCs w:val="24"/>
              </w:rPr>
              <w:t>以1小时为时间分辨率，对单日24个时段定义以下决策变量：P_charge(t)为充电功率，P_discharge(t)为放电功率，P_grid(t)为电网交互功率（正值为购电、负值为上网），SOC(t)为储能荷电状态。</w:t>
            </w:r>
          </w:p>
          <w:p w14:paraId="3FF32722">
            <w:pPr>
              <w:spacing w:after="60" w:line="360" w:lineRule="auto"/>
              <w:ind w:firstLine="480"/>
              <w:jc w:val="both"/>
            </w:pPr>
            <w:r>
              <w:rPr>
                <w:rFonts w:ascii="Times New Roman" w:hAnsi="Times New Roman" w:eastAsia="宋体" w:cs="Times New Roman"/>
                <w:b/>
                <w:bCs/>
                <w:sz w:val="24"/>
                <w:szCs w:val="24"/>
              </w:rPr>
              <w:t>目标函数：</w:t>
            </w:r>
            <w:r>
              <w:rPr>
                <w:rFonts w:ascii="Times New Roman" w:hAnsi="Times New Roman" w:eastAsia="宋体" w:cs="Times New Roman"/>
                <w:sz w:val="24"/>
                <w:szCs w:val="24"/>
              </w:rPr>
              <w:t>日均综合总成本与日均碳排放量的加权和极小化。综合总成本包括购电费用、上网收益和储能折旧成本；碳排放量基于逐时动态碳排放因子EF_opt(t)计算。双目标通过权重系数λ进行线性标量化，形成单一目标函数。</w:t>
            </w:r>
          </w:p>
          <w:p w14:paraId="3D9F002D">
            <w:pPr>
              <w:spacing w:after="60" w:line="360" w:lineRule="auto"/>
              <w:ind w:firstLine="480"/>
              <w:jc w:val="both"/>
              <w:rPr>
                <w:rFonts w:ascii="Times New Roman" w:hAnsi="Times New Roman" w:eastAsia="宋体" w:cs="Times New Roman"/>
                <w:b/>
                <w:bCs/>
                <w:sz w:val="24"/>
                <w:szCs w:val="24"/>
              </w:rPr>
            </w:pPr>
            <w:r>
              <w:rPr>
                <w:rFonts w:ascii="Times New Roman" w:hAnsi="Times New Roman" w:eastAsia="宋体" w:cs="Times New Roman"/>
                <w:b/>
                <w:bCs/>
                <w:sz w:val="24"/>
                <w:szCs w:val="24"/>
              </w:rPr>
              <w:t>约束条件：</w:t>
            </w:r>
          </w:p>
          <w:p w14:paraId="30D084A6">
            <w:pPr>
              <w:numPr>
                <w:ilvl w:val="0"/>
                <w:numId w:val="10"/>
              </w:numPr>
              <w:spacing w:after="60" w:line="360" w:lineRule="auto"/>
              <w:ind w:firstLine="480"/>
              <w:jc w:val="both"/>
              <w:rPr>
                <w:rFonts w:ascii="Times New Roman" w:hAnsi="Times New Roman" w:eastAsia="宋体" w:cs="Times New Roman"/>
                <w:b w:val="0"/>
                <w:bCs w:val="0"/>
                <w:sz w:val="24"/>
                <w:szCs w:val="24"/>
              </w:rPr>
            </w:pPr>
            <w:r>
              <w:rPr>
                <w:rFonts w:ascii="Times New Roman" w:hAnsi="Times New Roman" w:eastAsia="宋体" w:cs="Times New Roman"/>
                <w:b w:val="0"/>
                <w:bCs w:val="0"/>
                <w:sz w:val="24"/>
                <w:szCs w:val="24"/>
              </w:rPr>
              <w:t>功率平衡约束：</w:t>
            </w:r>
          </w:p>
          <w:p w14:paraId="3484B804">
            <w:pPr>
              <w:numPr>
                <w:ilvl w:val="0"/>
                <w:numId w:val="0"/>
              </w:numPr>
              <w:spacing w:after="60" w:line="360" w:lineRule="auto"/>
              <w:jc w:val="center"/>
              <w:rPr>
                <w:rFonts w:ascii="Times New Roman" w:hAnsi="Times New Roman" w:eastAsia="宋体" w:cs="Times New Roman"/>
                <w:b w:val="0"/>
                <w:bCs w:val="0"/>
                <w:sz w:val="24"/>
                <w:szCs w:val="24"/>
              </w:rPr>
            </w:pPr>
            <w:r>
              <w:rPr>
                <w:rFonts w:ascii="Times New Roman" w:hAnsi="Times New Roman" w:eastAsia="宋体" w:cs="Times New Roman"/>
                <w:b w:val="0"/>
                <w:bCs w:val="0"/>
                <w:sz w:val="24"/>
                <w:szCs w:val="24"/>
              </w:rPr>
              <w:t>P_load(t)=P_pv(t)+P_discharge(t)-P_charge(t)+P_grid(t)</w:t>
            </w:r>
          </w:p>
          <w:p w14:paraId="03E52FB7">
            <w:pPr>
              <w:numPr>
                <w:ilvl w:val="0"/>
                <w:numId w:val="9"/>
              </w:numPr>
              <w:spacing w:after="60" w:line="360" w:lineRule="auto"/>
              <w:ind w:left="0" w:leftChars="0" w:firstLine="480" w:firstLineChars="0"/>
              <w:jc w:val="both"/>
              <w:rPr>
                <w:rFonts w:ascii="Times New Roman" w:hAnsi="Times New Roman" w:eastAsia="宋体" w:cs="Times New Roman"/>
                <w:sz w:val="24"/>
                <w:szCs w:val="24"/>
              </w:rPr>
            </w:pPr>
            <w:r>
              <w:rPr>
                <w:rFonts w:ascii="Times New Roman" w:hAnsi="Times New Roman" w:eastAsia="宋体" w:cs="Times New Roman"/>
                <w:sz w:val="24"/>
                <w:szCs w:val="24"/>
              </w:rPr>
              <w:t>储能SOC约束：</w:t>
            </w:r>
          </w:p>
          <w:p w14:paraId="4954D4CA">
            <w:pPr>
              <w:numPr>
                <w:ilvl w:val="0"/>
                <w:numId w:val="0"/>
              </w:numPr>
              <w:spacing w:after="60" w:line="360" w:lineRule="auto"/>
              <w:ind w:left="480" w:leftChars="0"/>
              <w:jc w:val="center"/>
              <w:rPr>
                <w:rFonts w:ascii="Times New Roman" w:hAnsi="Times New Roman" w:eastAsia="宋体" w:cs="Times New Roman"/>
                <w:sz w:val="24"/>
                <w:szCs w:val="24"/>
              </w:rPr>
            </w:pPr>
            <w:r>
              <w:rPr>
                <w:rFonts w:ascii="Times New Roman" w:hAnsi="Times New Roman" w:eastAsia="宋体" w:cs="Times New Roman"/>
                <w:sz w:val="24"/>
                <w:szCs w:val="24"/>
              </w:rPr>
              <w:t>SOC_min≤SOC(t)≤SOC_max</w:t>
            </w:r>
          </w:p>
          <w:p w14:paraId="7A0BD15E">
            <w:pPr>
              <w:numPr>
                <w:ilvl w:val="0"/>
                <w:numId w:val="0"/>
              </w:numPr>
              <w:spacing w:after="60" w:line="360" w:lineRule="auto"/>
              <w:ind w:firstLine="2880" w:firstLineChars="1200"/>
              <w:jc w:val="both"/>
              <w:rPr>
                <w:rFonts w:ascii="Times New Roman" w:hAnsi="Times New Roman" w:eastAsia="宋体" w:cs="Times New Roman"/>
                <w:sz w:val="24"/>
                <w:szCs w:val="24"/>
              </w:rPr>
            </w:pPr>
            <w:r>
              <w:rPr>
                <w:rFonts w:ascii="Times New Roman" w:hAnsi="Times New Roman" w:eastAsia="宋体" w:cs="Times New Roman"/>
                <w:sz w:val="24"/>
                <w:szCs w:val="24"/>
              </w:rPr>
              <w:t>SOC(t+1)=SOC(t)+η·P_charge(t)-P_discharge(t)/η</w:t>
            </w:r>
          </w:p>
          <w:p w14:paraId="1D84E3D6">
            <w:pPr>
              <w:numPr>
                <w:ilvl w:val="0"/>
                <w:numId w:val="9"/>
              </w:numPr>
              <w:spacing w:after="60" w:line="360" w:lineRule="auto"/>
              <w:ind w:left="0" w:leftChars="0" w:firstLine="480" w:firstLineChars="0"/>
              <w:jc w:val="both"/>
              <w:rPr>
                <w:rFonts w:ascii="Times New Roman" w:hAnsi="Times New Roman" w:eastAsia="宋体" w:cs="Times New Roman"/>
                <w:sz w:val="24"/>
                <w:szCs w:val="24"/>
              </w:rPr>
            </w:pPr>
            <w:r>
              <w:rPr>
                <w:rFonts w:ascii="Times New Roman" w:hAnsi="Times New Roman" w:eastAsia="宋体" w:cs="Times New Roman"/>
                <w:sz w:val="24"/>
                <w:szCs w:val="24"/>
              </w:rPr>
              <w:t>功率上下限约束：</w:t>
            </w:r>
          </w:p>
          <w:p w14:paraId="2C427E1C">
            <w:pPr>
              <w:numPr>
                <w:ilvl w:val="0"/>
                <w:numId w:val="0"/>
              </w:numPr>
              <w:spacing w:after="60"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0≤P_charge(t)≤P_max，0≤P_discharge(t)≤P_max</w:t>
            </w:r>
          </w:p>
          <w:p w14:paraId="2F4B19BE">
            <w:pPr>
              <w:numPr>
                <w:ilvl w:val="0"/>
                <w:numId w:val="9"/>
              </w:numPr>
              <w:spacing w:after="60" w:line="360" w:lineRule="auto"/>
              <w:ind w:left="0" w:leftChars="0" w:firstLine="480" w:firstLineChars="0"/>
              <w:jc w:val="both"/>
              <w:rPr>
                <w:rFonts w:hint="eastAsia" w:ascii="Times New Roman" w:hAnsi="Times New Roman" w:eastAsia="宋体" w:cs="Times New Roman"/>
                <w:sz w:val="24"/>
                <w:szCs w:val="24"/>
              </w:rPr>
            </w:pPr>
            <w:r>
              <w:rPr>
                <w:rFonts w:ascii="Times New Roman" w:hAnsi="Times New Roman" w:eastAsia="宋体" w:cs="Times New Roman"/>
                <w:sz w:val="24"/>
                <w:szCs w:val="24"/>
              </w:rPr>
              <w:t>上网功率约束：</w:t>
            </w:r>
          </w:p>
          <w:p w14:paraId="1C0A4E5D">
            <w:pPr>
              <w:numPr>
                <w:ilvl w:val="0"/>
                <w:numId w:val="0"/>
              </w:numPr>
              <w:spacing w:after="60" w:line="360" w:lineRule="auto"/>
              <w:jc w:val="center"/>
              <w:rPr>
                <w:rFonts w:hint="eastAsia" w:ascii="Times New Roman" w:hAnsi="Times New Roman" w:eastAsia="宋体" w:cs="Times New Roman"/>
                <w:sz w:val="24"/>
                <w:szCs w:val="24"/>
              </w:rPr>
            </w:pPr>
            <w:r>
              <w:rPr>
                <w:rFonts w:ascii="Times New Roman" w:hAnsi="Times New Roman" w:eastAsia="宋体" w:cs="Times New Roman"/>
                <w:sz w:val="24"/>
                <w:szCs w:val="24"/>
              </w:rPr>
              <w:t>|P_grid(t)|≤P_grid_max</w:t>
            </w:r>
          </w:p>
          <w:p w14:paraId="3E3FD38C">
            <w:pPr>
              <w:numPr>
                <w:ilvl w:val="0"/>
                <w:numId w:val="9"/>
              </w:numPr>
              <w:spacing w:after="60" w:line="360" w:lineRule="auto"/>
              <w:ind w:left="0" w:leftChars="0" w:firstLine="480" w:firstLineChars="0"/>
              <w:jc w:val="both"/>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绿电口径约束：绿电占比统一按光伏发电量与原始负荷之比核算，储能仅实现绿电的时间搬运、不重复计入（详见4.2.4）。</w:t>
            </w:r>
          </w:p>
          <w:p w14:paraId="156F68CD">
            <w:pPr>
              <w:spacing w:after="60" w:line="360" w:lineRule="auto"/>
              <w:ind w:firstLine="480"/>
              <w:jc w:val="both"/>
            </w:pPr>
            <w:r>
              <w:rPr>
                <w:rFonts w:hint="eastAsia" w:ascii="Times New Roman" w:hAnsi="Times New Roman" w:eastAsia="宋体" w:cs="Times New Roman"/>
                <w:sz w:val="24"/>
                <w:szCs w:val="24"/>
              </w:rPr>
              <w:t>上述所有约束均为线性形式，目标函数中的电价</w:t>
            </w:r>
            <w:r>
              <w:rPr>
                <w:rFonts w:hint="eastAsia" w:ascii="Times New Roman" w:hAnsi="Times New Roman" w:cs="Times New Roman"/>
                <w:sz w:val="24"/>
                <w:szCs w:val="24"/>
                <w:lang w:val="en-US" w:eastAsia="zh-CN"/>
              </w:rPr>
              <w:t>按照电力用户与售电公司签订的零售合同计算，</w:t>
            </w:r>
            <w:r>
              <w:rPr>
                <w:rFonts w:hint="eastAsia" w:ascii="Times New Roman" w:hAnsi="Times New Roman" w:eastAsia="宋体" w:cs="Times New Roman"/>
                <w:sz w:val="24"/>
                <w:szCs w:val="24"/>
              </w:rPr>
              <w:t>采用中长期合约价（占90%，合同锁定）与</w:t>
            </w:r>
            <w:r>
              <w:rPr>
                <w:rFonts w:hint="eastAsia" w:ascii="Times New Roman" w:hAnsi="Times New Roman" w:cs="Times New Roman"/>
                <w:sz w:val="24"/>
                <w:szCs w:val="24"/>
                <w:lang w:val="en-US" w:eastAsia="zh-CN"/>
              </w:rPr>
              <w:t>日前市场月度加权平均综合价</w:t>
            </w:r>
            <w:r>
              <w:rPr>
                <w:rFonts w:hint="eastAsia" w:ascii="Times New Roman" w:hAnsi="Times New Roman" w:eastAsia="宋体" w:cs="Times New Roman"/>
                <w:sz w:val="24"/>
                <w:szCs w:val="24"/>
              </w:rPr>
              <w:t>（占10%）的联动</w:t>
            </w:r>
            <w:r>
              <w:rPr>
                <w:rFonts w:hint="eastAsia" w:ascii="Times New Roman" w:hAnsi="Times New Roman" w:cs="Times New Roman"/>
                <w:sz w:val="24"/>
                <w:szCs w:val="24"/>
                <w:lang w:val="en-US" w:eastAsia="zh-CN"/>
              </w:rPr>
              <w:t>现货</w:t>
            </w:r>
            <w:r>
              <w:rPr>
                <w:rFonts w:hint="eastAsia" w:ascii="Times New Roman" w:hAnsi="Times New Roman" w:eastAsia="宋体" w:cs="Times New Roman"/>
                <w:sz w:val="24"/>
                <w:szCs w:val="24"/>
              </w:rPr>
              <w:t>值，</w:t>
            </w:r>
            <w:r>
              <w:rPr>
                <w:rFonts w:hint="eastAsia" w:ascii="Times New Roman" w:hAnsi="Times New Roman" w:cs="Times New Roman"/>
                <w:sz w:val="24"/>
                <w:szCs w:val="24"/>
                <w:lang w:val="en-US" w:eastAsia="zh-CN"/>
              </w:rPr>
              <w:t>由于电价影响因素颇多，我们暂时没有足够数据支撑做实时电价预测，我们就采用历史日前市场月度加权平均综合价来进行成本核算，</w:t>
            </w:r>
            <w:r>
              <w:rPr>
                <w:rFonts w:hint="eastAsia" w:ascii="Times New Roman" w:hAnsi="Times New Roman" w:eastAsia="宋体" w:cs="Times New Roman"/>
                <w:sz w:val="24"/>
                <w:szCs w:val="24"/>
              </w:rPr>
              <w:t>碳排放因子 EF_opt(t) 由逐时电价代理构造（详见4.3.5），两者在日前调度中均视为已知参数，因此整个优化问题是标准LP，实测单日求解约8毫秒、全年滚动约3秒</w:t>
            </w:r>
            <w:r>
              <w:rPr>
                <w:rFonts w:ascii="Times New Roman" w:hAnsi="Times New Roman" w:eastAsia="宋体" w:cs="Times New Roman"/>
                <w:sz w:val="24"/>
                <w:szCs w:val="24"/>
              </w:rPr>
              <w:t>。相较MPC[13]或PSO[14]等非线性方法，LP的求解速度优势使其适用于日前+日内滚动调度的工程场景。</w:t>
            </w:r>
          </w:p>
          <w:p w14:paraId="21DD6A3F">
            <w:pPr>
              <w:pStyle w:val="5"/>
              <w:keepNext/>
              <w:keepLines/>
              <w:spacing w:before="140" w:after="80"/>
            </w:pPr>
            <w:r>
              <w:rPr>
                <w:rFonts w:ascii="Times New Roman" w:hAnsi="Times New Roman" w:eastAsia="宋体" w:cs="Times New Roman"/>
                <w:b/>
                <w:bCs/>
                <w:sz w:val="26"/>
                <w:szCs w:val="26"/>
              </w:rPr>
              <w:t>4.2.3 双模式滞回状态机</w:t>
            </w:r>
          </w:p>
          <w:p w14:paraId="076C8F88">
            <w:pPr>
              <w:spacing w:after="60" w:line="360" w:lineRule="auto"/>
              <w:ind w:firstLine="480"/>
              <w:jc w:val="both"/>
            </w:pPr>
            <w:r>
              <w:rPr>
                <w:rFonts w:ascii="Times New Roman" w:hAnsi="Times New Roman" w:eastAsia="宋体" w:cs="Times New Roman"/>
                <w:sz w:val="24"/>
                <w:szCs w:val="24"/>
              </w:rPr>
              <w:t>为平衡节能经济性与供电安全性，本项目设计了“节能/安全”双模式滞回状态机。节能模式以经济最优和碳减排最大为目标，储能充放电严格遵循linprog输出；安全模式在极端工况下激活，优先保障关键工艺段（曝气、提升泵）的不间断供电。</w:t>
            </w:r>
          </w:p>
          <w:p w14:paraId="60E76B59">
            <w:pPr>
              <w:spacing w:after="60" w:line="360" w:lineRule="auto"/>
              <w:ind w:firstLine="480"/>
              <w:jc w:val="both"/>
            </w:pPr>
            <w:r>
              <w:rPr>
                <w:rFonts w:ascii="Times New Roman" w:hAnsi="Times New Roman" w:eastAsia="宋体" w:cs="Times New Roman"/>
                <w:sz w:val="24"/>
                <w:szCs w:val="24"/>
              </w:rPr>
              <w:t>模式切换采用滞回逻辑以避免频繁切换：连续3天出现重压工况（定义为日负荷预测超过装机容量90%或SOC低于20%）才触发由节能模式向安全模式的切换；安全模式至少维持1天后才允许切回节能模式。该设计有效防止了负荷短期波动导致的模式振荡，保证了调度策略的稳定性。</w:t>
            </w:r>
          </w:p>
          <w:p w14:paraId="65F9D5DE">
            <w:pPr>
              <w:spacing w:after="60" w:line="360" w:lineRule="auto"/>
              <w:jc w:val="both"/>
              <w:rPr>
                <w:rFonts w:hint="eastAsia" w:ascii="Times New Roman" w:hAnsi="Times New Roman" w:eastAsia="宋体" w:cs="Times New Roman"/>
                <w:b/>
                <w:bCs/>
                <w:sz w:val="26"/>
                <w:szCs w:val="26"/>
              </w:rPr>
            </w:pPr>
            <w:r>
              <w:rPr>
                <w:rFonts w:hint="eastAsia" w:ascii="Times New Roman" w:hAnsi="Times New Roman" w:eastAsia="宋体" w:cs="Times New Roman"/>
                <w:b/>
                <w:bCs/>
                <w:sz w:val="26"/>
                <w:szCs w:val="26"/>
              </w:rPr>
              <w:t>4.2.4 绿电溯源与时间搬运机制</w:t>
            </w:r>
          </w:p>
          <w:p w14:paraId="06217DC3">
            <w:pPr>
              <w:spacing w:after="60" w:line="360" w:lineRule="auto"/>
              <w:ind w:firstLine="480"/>
              <w:jc w:val="both"/>
            </w:pPr>
            <w:r>
              <w:rPr>
                <w:rFonts w:hint="eastAsia" w:ascii="Times New Roman" w:hAnsi="Times New Roman" w:eastAsia="宋体" w:cs="Times New Roman"/>
                <w:sz w:val="24"/>
                <w:szCs w:val="24"/>
              </w:rPr>
              <w:t>为避免绿电占比虚高，本项目统一以光伏实际发电量与原始总负荷之比核算绿电占比，储能充放电仅实现绿电的跨时段搬运、不重复计入绿电。</w:t>
            </w:r>
          </w:p>
          <w:p w14:paraId="0B681D8A">
            <w:pPr>
              <w:pStyle w:val="5"/>
              <w:keepNext/>
              <w:keepLines/>
              <w:spacing w:before="140" w:after="80"/>
              <w:ind w:firstLine="480" w:firstLineChars="200"/>
              <w:rPr>
                <w:rFonts w:hint="eastAsia" w:ascii="Times New Roman" w:hAnsi="Times New Roman" w:eastAsia="宋体" w:cs="Times New Roman"/>
                <w:b w:val="0"/>
                <w:bCs w:val="0"/>
                <w:color w:val="auto"/>
                <w:sz w:val="24"/>
                <w:szCs w:val="24"/>
                <w:lang w:val="en-US" w:eastAsia="en-US" w:bidi="ar-SA"/>
              </w:rPr>
            </w:pPr>
            <w:r>
              <w:rPr>
                <w:rFonts w:hint="eastAsia" w:ascii="Times New Roman" w:hAnsi="Times New Roman" w:eastAsia="宋体" w:cs="Times New Roman"/>
                <w:b w:val="0"/>
                <w:bCs w:val="0"/>
                <w:color w:val="auto"/>
                <w:sz w:val="24"/>
                <w:szCs w:val="24"/>
                <w:lang w:val="en-US" w:eastAsia="en-US" w:bidi="ar-SA"/>
              </w:rPr>
              <w:t>逐时追踪光伏直供负荷、光伏充储能、储能放电替代购电三类绿电流向并分别计量，确保绿电占比13.4%这一数据的真实性和可追溯性，为碳核算提供了可靠的绿电消耗依据。</w:t>
            </w:r>
          </w:p>
          <w:p w14:paraId="78E4E46F">
            <w:pPr>
              <w:pStyle w:val="5"/>
              <w:keepNext/>
              <w:keepLines/>
              <w:spacing w:before="140" w:after="80"/>
              <w:ind w:firstLine="240"/>
            </w:pPr>
            <w:r>
              <w:rPr>
                <w:rFonts w:ascii="Times New Roman" w:hAnsi="Times New Roman" w:eastAsia="宋体" w:cs="Times New Roman"/>
                <w:b/>
                <w:bCs/>
                <w:sz w:val="26"/>
                <w:szCs w:val="26"/>
              </w:rPr>
              <w:t>4.2.5 经济性测算</w:t>
            </w:r>
          </w:p>
          <w:p w14:paraId="663CC410">
            <w:pPr>
              <w:spacing w:after="60" w:line="360" w:lineRule="auto"/>
              <w:ind w:firstLine="480"/>
              <w:jc w:val="both"/>
            </w:pPr>
            <w:r>
              <w:rPr>
                <w:rFonts w:ascii="Times New Roman" w:hAnsi="Times New Roman" w:eastAsia="宋体" w:cs="Times New Roman"/>
                <w:sz w:val="24"/>
                <w:szCs w:val="24"/>
              </w:rPr>
              <w:t>基于广东省工商业电价（峰谷价差约0.5元/kWh）、光伏上网电价及储能全生命周期成本，对本项目</w:t>
            </w:r>
            <w:r>
              <w:rPr>
                <w:rFonts w:hint="eastAsia" w:ascii="Times New Roman" w:hAnsi="Times New Roman" w:cs="Times New Roman"/>
                <w:sz w:val="24"/>
                <w:szCs w:val="24"/>
                <w:lang w:val="en-US" w:eastAsia="zh-CN"/>
              </w:rPr>
              <w:t>对A污水处理厂</w:t>
            </w:r>
            <w:r>
              <w:rPr>
                <w:rFonts w:ascii="Times New Roman" w:hAnsi="Times New Roman" w:eastAsia="宋体" w:cs="Times New Roman"/>
                <w:sz w:val="24"/>
                <w:szCs w:val="24"/>
              </w:rPr>
              <w:t>进行完整的经济性分析。总投资6760万元（含储能系统、光伏系统、安装调试及辅助设施），</w:t>
            </w:r>
            <w:r>
              <w:rPr>
                <w:rFonts w:hint="eastAsia" w:ascii="Times New Roman" w:hAnsi="Times New Roman" w:eastAsia="宋体" w:cs="Times New Roman"/>
                <w:sz w:val="24"/>
                <w:szCs w:val="24"/>
              </w:rPr>
              <w:t>年节省电费 1143 万元</w:t>
            </w:r>
            <w:r>
              <w:rPr>
                <w:rFonts w:hint="eastAsia" w:ascii="Times New Roman" w:hAnsi="Times New Roman" w:cs="Times New Roman"/>
                <w:sz w:val="24"/>
                <w:szCs w:val="24"/>
                <w:lang w:eastAsia="zh-CN"/>
              </w:rPr>
              <w:t>（</w:t>
            </w:r>
            <w:r>
              <w:rPr>
                <w:rFonts w:hint="eastAsia" w:ascii="Times New Roman" w:hAnsi="Times New Roman" w:eastAsia="宋体" w:cs="Times New Roman"/>
                <w:sz w:val="24"/>
                <w:szCs w:val="24"/>
              </w:rPr>
              <w:t>完整方案vs 基准）。其中「基准」指污水厂维持现状、不加装任何设备、全部用电按</w:t>
            </w:r>
            <w:r>
              <w:rPr>
                <w:rFonts w:hint="eastAsia" w:ascii="Times New Roman" w:hAnsi="Times New Roman" w:cs="Times New Roman"/>
                <w:sz w:val="24"/>
                <w:szCs w:val="24"/>
                <w:lang w:val="en-US" w:eastAsia="zh-CN"/>
              </w:rPr>
              <w:t>零售合同</w:t>
            </w:r>
            <w:r>
              <w:rPr>
                <w:rFonts w:hint="eastAsia" w:ascii="Times New Roman" w:hAnsi="Times New Roman" w:eastAsia="宋体" w:cs="Times New Roman"/>
                <w:sz w:val="24"/>
                <w:szCs w:val="24"/>
              </w:rPr>
              <w:t>从电网购入；「完整方案」指光伏 10.5MW + 储能 16MWh +柔性负荷（曝气错峰）全系统投运。</w:t>
            </w:r>
            <w:r>
              <w:rPr>
                <w:rFonts w:ascii="Times New Roman" w:hAnsi="Times New Roman" w:eastAsia="宋体" w:cs="Times New Roman"/>
                <w:sz w:val="24"/>
                <w:szCs w:val="24"/>
              </w:rPr>
              <w:t>投资回收期5.9年。该经济性指标在同类项目中处于领先水平，充分验证了方案的工程可行性与商业价值。</w:t>
            </w:r>
          </w:p>
          <w:p w14:paraId="59FEA360">
            <w:pPr>
              <w:pStyle w:val="4"/>
              <w:keepNext/>
              <w:keepLines/>
              <w:spacing w:before="180" w:after="100"/>
            </w:pPr>
            <w:r>
              <w:rPr>
                <w:rFonts w:ascii="Times New Roman" w:hAnsi="Times New Roman" w:eastAsia="宋体" w:cs="Times New Roman"/>
                <w:b/>
                <w:bCs/>
                <w:sz w:val="28"/>
                <w:szCs w:val="28"/>
              </w:rPr>
              <w:t>4.3 模块三：三账碳核算与LCA全生命周期评价</w:t>
            </w:r>
          </w:p>
          <w:p w14:paraId="0920398B">
            <w:pPr>
              <w:pStyle w:val="5"/>
              <w:keepNext/>
              <w:keepLines/>
              <w:spacing w:before="140" w:after="80"/>
            </w:pPr>
            <w:r>
              <w:rPr>
                <w:rFonts w:ascii="Times New Roman" w:hAnsi="Times New Roman" w:eastAsia="宋体" w:cs="Times New Roman"/>
                <w:b/>
                <w:bCs/>
                <w:sz w:val="26"/>
                <w:szCs w:val="26"/>
              </w:rPr>
              <w:t>4.3.1 三账体系总体架构</w:t>
            </w:r>
          </w:p>
          <w:p w14:paraId="0A11D170">
            <w:pPr>
              <w:spacing w:after="60" w:line="360" w:lineRule="auto"/>
              <w:ind w:firstLine="480"/>
              <w:jc w:val="both"/>
            </w:pPr>
            <w:r>
              <w:rPr>
                <w:rFonts w:ascii="Times New Roman" w:hAnsi="Times New Roman" w:eastAsia="宋体" w:cs="Times New Roman"/>
                <w:sz w:val="24"/>
                <w:szCs w:val="24"/>
              </w:rPr>
              <w:t>本项目建立了“企业清单账+项目减排账+LCA全生命周期账”三账碳核算体系，分别对应企业层面的排放摸底、项目层面的减排量化和设备层面的全生命周期评价，形成从宏观到微观的完整碳核算链条。</w:t>
            </w:r>
          </w:p>
          <w:p w14:paraId="075E2806">
            <w:pPr>
              <w:pStyle w:val="5"/>
              <w:keepNext/>
              <w:keepLines/>
              <w:spacing w:before="140" w:after="80"/>
            </w:pPr>
            <w:r>
              <w:rPr>
                <w:rFonts w:ascii="Times New Roman" w:hAnsi="Times New Roman" w:eastAsia="宋体" w:cs="Times New Roman"/>
                <w:b/>
                <w:bCs/>
                <w:sz w:val="26"/>
                <w:szCs w:val="26"/>
              </w:rPr>
              <w:t>4.3.2 企业清单账</w:t>
            </w:r>
          </w:p>
          <w:p w14:paraId="691BC7AB">
            <w:pPr>
              <w:spacing w:after="60" w:line="360" w:lineRule="auto"/>
              <w:ind w:firstLine="480"/>
              <w:jc w:val="both"/>
            </w:pPr>
            <w:r>
              <w:rPr>
                <w:rFonts w:ascii="Times New Roman" w:hAnsi="Times New Roman" w:eastAsia="宋体" w:cs="Times New Roman"/>
                <w:sz w:val="24"/>
                <w:szCs w:val="24"/>
              </w:rPr>
              <w:t>企业清单账按照GHG Protocol[17]的范围一、范围二框架编制，覆盖污水处理厂的直接排放和间接排放。范围一排放来源于污水处理过程中的生化反应，主要包括：CH₄排放6080.9 tCO₂e/年（基于IPCC 2023修订版方法学[</w:t>
            </w:r>
            <w:r>
              <w:rPr>
                <w:rFonts w:hint="eastAsia" w:ascii="Times New Roman" w:hAnsi="Times New Roman" w:cs="Times New Roman"/>
                <w:sz w:val="24"/>
                <w:szCs w:val="24"/>
                <w:lang w:val="en-US" w:eastAsia="zh-CN"/>
              </w:rPr>
              <w:t>16</w:t>
            </w:r>
            <w:r>
              <w:rPr>
                <w:rFonts w:ascii="Times New Roman" w:hAnsi="Times New Roman" w:eastAsia="宋体" w:cs="Times New Roman"/>
                <w:sz w:val="24"/>
                <w:szCs w:val="24"/>
              </w:rPr>
              <w:t>]，结合进水BOD、厌氧/缺氧段停留时间等参数估算）；N₂O排放22373.9 tCO₂e/年（基于T/GDAEPI 49—2025[</w:t>
            </w:r>
            <w:r>
              <w:rPr>
                <w:rFonts w:hint="eastAsia" w:ascii="Times New Roman" w:hAnsi="Times New Roman" w:cs="Times New Roman"/>
                <w:sz w:val="24"/>
                <w:szCs w:val="24"/>
                <w:lang w:val="en-US" w:eastAsia="zh-CN"/>
              </w:rPr>
              <w:t>22</w:t>
            </w:r>
            <w:r>
              <w:rPr>
                <w:rFonts w:ascii="Times New Roman" w:hAnsi="Times New Roman" w:eastAsia="宋体" w:cs="Times New Roman"/>
                <w:sz w:val="24"/>
                <w:szCs w:val="24"/>
              </w:rPr>
              <w:t>]的直接排放监测与因子测算导则，结合好氧段溶解氧浓度、总氮去除负荷等参数计算）。范围一合计28454.8 tCO₂e/年。范围二排放来源于外购电力，按广东省电力碳排放因子0.4419 tCO₂/MWh[</w:t>
            </w:r>
            <w:r>
              <w:rPr>
                <w:rFonts w:hint="eastAsia" w:ascii="Times New Roman" w:hAnsi="Times New Roman" w:cs="Times New Roman"/>
                <w:sz w:val="24"/>
                <w:szCs w:val="24"/>
                <w:lang w:val="en-US" w:eastAsia="zh-CN"/>
              </w:rPr>
              <w:t>6</w:t>
            </w:r>
            <w:r>
              <w:rPr>
                <w:rFonts w:ascii="Times New Roman" w:hAnsi="Times New Roman" w:eastAsia="宋体" w:cs="Times New Roman"/>
                <w:sz w:val="24"/>
                <w:szCs w:val="24"/>
              </w:rPr>
              <w:t>]计算，年排放量为33356.8 tCO₂e/年。企业清单账合计年排放61811.6 tCO₂e/年。</w:t>
            </w:r>
          </w:p>
          <w:p w14:paraId="09562D80">
            <w:pPr>
              <w:pStyle w:val="5"/>
              <w:keepNext/>
              <w:keepLines/>
              <w:spacing w:before="140" w:after="80"/>
            </w:pPr>
            <w:r>
              <w:rPr>
                <w:rFonts w:ascii="Times New Roman" w:hAnsi="Times New Roman" w:eastAsia="宋体" w:cs="Times New Roman"/>
                <w:b/>
                <w:bCs/>
                <w:sz w:val="26"/>
                <w:szCs w:val="26"/>
              </w:rPr>
              <w:t>4.3.3 项目减排账</w:t>
            </w:r>
          </w:p>
          <w:p w14:paraId="02BE6B90">
            <w:pPr>
              <w:spacing w:after="60" w:line="360" w:lineRule="auto"/>
              <w:ind w:firstLine="480"/>
              <w:jc w:val="both"/>
            </w:pPr>
            <w:r>
              <w:rPr>
                <w:rFonts w:ascii="Times New Roman" w:hAnsi="Times New Roman" w:eastAsia="宋体" w:cs="Times New Roman"/>
                <w:sz w:val="24"/>
                <w:szCs w:val="24"/>
              </w:rPr>
              <w:t>项目减排账参照GB/T 46725—2025[</w:t>
            </w:r>
            <w:r>
              <w:rPr>
                <w:rFonts w:hint="eastAsia" w:ascii="Times New Roman" w:hAnsi="Times New Roman" w:cs="Times New Roman"/>
                <w:sz w:val="24"/>
                <w:szCs w:val="24"/>
                <w:lang w:val="en-US" w:eastAsia="zh-CN"/>
              </w:rPr>
              <w:t>18</w:t>
            </w:r>
            <w:r>
              <w:rPr>
                <w:rFonts w:ascii="Times New Roman" w:hAnsi="Times New Roman" w:eastAsia="宋体" w:cs="Times New Roman"/>
                <w:sz w:val="24"/>
                <w:szCs w:val="24"/>
              </w:rPr>
              <w:t>]</w:t>
            </w:r>
            <w:r>
              <w:rPr>
                <w:rFonts w:hint="eastAsia" w:ascii="Times New Roman" w:hAnsi="Times New Roman" w:cs="Times New Roman"/>
                <w:sz w:val="24"/>
                <w:szCs w:val="24"/>
                <w:lang w:val="en-US" w:eastAsia="zh-CN"/>
              </w:rPr>
              <w:t>和</w:t>
            </w:r>
            <w:r>
              <w:rPr>
                <w:rFonts w:ascii="Times New Roman" w:hAnsi="Times New Roman" w:eastAsia="宋体" w:cs="Times New Roman"/>
                <w:sz w:val="24"/>
                <w:szCs w:val="24"/>
              </w:rPr>
              <w:t>T/CRSUD 001-2023[</w:t>
            </w:r>
            <w:r>
              <w:rPr>
                <w:rFonts w:hint="eastAsia" w:ascii="Times New Roman" w:hAnsi="Times New Roman" w:cs="Times New Roman"/>
                <w:sz w:val="24"/>
                <w:szCs w:val="24"/>
                <w:lang w:val="en-US" w:eastAsia="zh-CN"/>
              </w:rPr>
              <w:t>19</w:t>
            </w:r>
            <w:r>
              <w:rPr>
                <w:rFonts w:ascii="Times New Roman" w:hAnsi="Times New Roman" w:eastAsia="宋体" w:cs="Times New Roman"/>
                <w:sz w:val="24"/>
                <w:szCs w:val="24"/>
              </w:rPr>
              <w:t>]的方法学，采用基准线-项目情景差值法计算减排量。基准线排放BE为无光储系统时的电网购电排放，计算值为35590.3 tCO₂e/年；项目排放PE为光储系统投运后的实际排放（含电网购电+储能损耗+设备运行排放），计算值为32094.1 tCO₂e/年；泄漏排放LE忽略不计（≈0）。项目年减排量为：</w:t>
            </w:r>
          </w:p>
          <w:p w14:paraId="29C00669">
            <w:pPr>
              <w:spacing w:after="60" w:line="360" w:lineRule="auto"/>
              <w:jc w:val="center"/>
            </w:pPr>
            <w:r>
              <w:rPr>
                <w:rFonts w:ascii="Times New Roman" w:hAnsi="Times New Roman" w:eastAsia="宋体" w:cs="Times New Roman"/>
                <w:sz w:val="24"/>
                <w:szCs w:val="24"/>
              </w:rPr>
              <w:t>ER = BE - PE - LE = 35590.3 - 32094.1 - 0 = 3496 tCO₂e/年</w:t>
            </w:r>
          </w:p>
          <w:p w14:paraId="436CEB98">
            <w:pPr>
              <w:pStyle w:val="5"/>
              <w:keepNext/>
              <w:keepLines/>
              <w:spacing w:before="140" w:after="80"/>
            </w:pPr>
            <w:r>
              <w:rPr>
                <w:rFonts w:ascii="Times New Roman" w:hAnsi="Times New Roman" w:eastAsia="宋体" w:cs="Times New Roman"/>
                <w:b/>
                <w:bCs/>
                <w:sz w:val="26"/>
                <w:szCs w:val="26"/>
              </w:rPr>
              <w:t>4.3.4 LCA全生命周期账</w:t>
            </w:r>
          </w:p>
          <w:p w14:paraId="6EEFC101">
            <w:pPr>
              <w:spacing w:after="60" w:line="360" w:lineRule="auto"/>
              <w:ind w:firstLine="480"/>
              <w:jc w:val="both"/>
            </w:pPr>
            <w:r>
              <w:rPr>
                <w:rFonts w:ascii="Times New Roman" w:hAnsi="Times New Roman" w:eastAsia="宋体" w:cs="Times New Roman"/>
                <w:sz w:val="24"/>
                <w:szCs w:val="24"/>
              </w:rPr>
              <w:t>LCA全生命周期账依据T/GDES 97—2025[</w:t>
            </w:r>
            <w:r>
              <w:rPr>
                <w:rFonts w:hint="eastAsia" w:ascii="Times New Roman" w:hAnsi="Times New Roman" w:cs="Times New Roman"/>
                <w:sz w:val="24"/>
                <w:szCs w:val="24"/>
                <w:lang w:val="en-US" w:eastAsia="zh-CN"/>
              </w:rPr>
              <w:t>20</w:t>
            </w:r>
            <w:r>
              <w:rPr>
                <w:rFonts w:ascii="Times New Roman" w:hAnsi="Times New Roman" w:eastAsia="宋体" w:cs="Times New Roman"/>
                <w:sz w:val="24"/>
                <w:szCs w:val="24"/>
              </w:rPr>
              <w:t>]和REETC/TN033:2026[</w:t>
            </w:r>
            <w:r>
              <w:rPr>
                <w:rFonts w:hint="eastAsia" w:ascii="Times New Roman" w:hAnsi="Times New Roman" w:cs="Times New Roman"/>
                <w:sz w:val="24"/>
                <w:szCs w:val="24"/>
                <w:lang w:val="en-US" w:eastAsia="zh-CN"/>
              </w:rPr>
              <w:t>21</w:t>
            </w:r>
            <w:r>
              <w:rPr>
                <w:rFonts w:ascii="Times New Roman" w:hAnsi="Times New Roman" w:eastAsia="宋体" w:cs="Times New Roman"/>
                <w:sz w:val="24"/>
                <w:szCs w:val="24"/>
              </w:rPr>
              <w:t>]的方法学，对储能系统的全生命周期隐含碳排放进行量化。16MWh磷酸铁锂储能系统的隐含碳排放因子约为70 kgCO₂/kWh，总隐含碳排放为1008 tCO₂e。考虑退役后材料回收的碳抵减效应（抵减率10%），年均分摊隐含碳排放约为84 tCO₂e/年（按12年折旧期计算）。因此，扣除隐含碳后，项目净年减排量为3412 tCO₂e/年。</w:t>
            </w:r>
          </w:p>
          <w:p w14:paraId="0D7EAC08">
            <w:pPr>
              <w:pStyle w:val="5"/>
              <w:keepNext/>
              <w:keepLines/>
              <w:spacing w:before="140" w:after="80"/>
            </w:pPr>
            <w:r>
              <w:rPr>
                <w:rFonts w:ascii="Times New Roman" w:hAnsi="Times New Roman" w:eastAsia="宋体" w:cs="Times New Roman"/>
                <w:b/>
                <w:bCs/>
                <w:sz w:val="26"/>
                <w:szCs w:val="26"/>
              </w:rPr>
              <w:t>4.3.5 逐时动态碳排放因子构造</w:t>
            </w:r>
          </w:p>
          <w:p w14:paraId="5C55511B">
            <w:pPr>
              <w:spacing w:after="60" w:line="360" w:lineRule="auto"/>
              <w:ind w:firstLine="480"/>
              <w:jc w:val="both"/>
            </w:pPr>
            <w:r>
              <w:rPr>
                <w:rFonts w:ascii="Times New Roman" w:hAnsi="Times New Roman" w:eastAsia="宋体" w:cs="Times New Roman"/>
                <w:sz w:val="24"/>
                <w:szCs w:val="24"/>
              </w:rPr>
              <w:t>本项目创新性地提出“电价代理”方法构造逐时动态碳排放因子EF_opt(t)。具体方法为：采集广东电力市场中长期合约价与现货联动后的到户电价数据，对其进行min-max归一化处理，映射至碳排放因子的合理波动区间，并通过年度均值校准至0.4419 tCO₂/MWh（与广东省2023年度电力碳排放因子一致）。该方法的核心假设是：电力现货价格与发电边际碳排放之间存在正相关关系——电价高峰时段对应高碳排放的火电机组上网，电价低谷时段对应低碳排放的可再生能源充裕。Jha等[7]的研究验证了这一假设的合理性。构造得到的EF_opt(t)用于模块二的调度目标函数，使得储能系统可以在低碳排放时段优先充电、高碳排放时段优先放电，实现避碳调度。</w:t>
            </w:r>
          </w:p>
          <w:p w14:paraId="3DAC52F9">
            <w:pPr>
              <w:pStyle w:val="4"/>
              <w:keepNext/>
              <w:keepLines/>
              <w:spacing w:before="180" w:after="100"/>
            </w:pPr>
            <w:r>
              <w:rPr>
                <w:rFonts w:ascii="Times New Roman" w:hAnsi="Times New Roman" w:eastAsia="宋体" w:cs="Times New Roman"/>
                <w:b/>
                <w:bCs/>
                <w:sz w:val="28"/>
                <w:szCs w:val="28"/>
              </w:rPr>
              <w:t>4.4 零碳效益测算与经济性分析</w:t>
            </w:r>
          </w:p>
          <w:p w14:paraId="1B8258D3">
            <w:pPr>
              <w:spacing w:after="60" w:line="360" w:lineRule="auto"/>
              <w:ind w:firstLine="480"/>
              <w:jc w:val="both"/>
            </w:pPr>
            <w:r>
              <w:rPr>
                <w:rFonts w:ascii="Times New Roman" w:hAnsi="Times New Roman" w:eastAsia="宋体" w:cs="Times New Roman"/>
                <w:sz w:val="24"/>
                <w:szCs w:val="24"/>
              </w:rPr>
              <w:t>基于上述三模块的协同运行，对本项目的零碳效益进行综合测算。</w:t>
            </w:r>
          </w:p>
          <w:p w14:paraId="3AD00C33">
            <w:pPr>
              <w:spacing w:before="120" w:after="60"/>
              <w:jc w:val="center"/>
            </w:pPr>
            <w:r>
              <w:rPr>
                <w:rFonts w:ascii="Times New Roman" w:hAnsi="Times New Roman" w:eastAsia="宋体" w:cs="Times New Roman"/>
                <w:b/>
                <w:bCs/>
                <w:sz w:val="24"/>
                <w:szCs w:val="24"/>
              </w:rPr>
              <w:t>表1 零碳效益核心指标汇总</w:t>
            </w:r>
          </w:p>
          <w:tbl>
            <w:tblPr>
              <w:tblStyle w:val="3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800"/>
              <w:gridCol w:w="2200"/>
              <w:gridCol w:w="2200"/>
              <w:gridCol w:w="3160"/>
            </w:tblGrid>
            <w:tr w14:paraId="442DC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800" w:type="dxa"/>
                  <w:tcBorders>
                    <w:top w:val="single" w:color="000000" w:sz="12" w:space="0"/>
                    <w:left w:val="nil"/>
                    <w:bottom w:val="single" w:color="000000" w:sz="6" w:space="0"/>
                    <w:right w:val="nil"/>
                  </w:tcBorders>
                </w:tcPr>
                <w:p w14:paraId="072F7CA6">
                  <w:pPr>
                    <w:spacing w:before="40" w:after="40"/>
                    <w:jc w:val="center"/>
                  </w:pPr>
                  <w:r>
                    <w:rPr>
                      <w:rFonts w:ascii="Times New Roman" w:hAnsi="Times New Roman" w:eastAsia="宋体" w:cs="Times New Roman"/>
                      <w:b/>
                      <w:bCs/>
                      <w:sz w:val="24"/>
                      <w:szCs w:val="24"/>
                    </w:rPr>
                    <w:t>指标类别</w:t>
                  </w:r>
                </w:p>
              </w:tc>
              <w:tc>
                <w:tcPr>
                  <w:tcW w:w="2200" w:type="dxa"/>
                  <w:tcBorders>
                    <w:top w:val="single" w:color="000000" w:sz="12" w:space="0"/>
                    <w:left w:val="nil"/>
                    <w:bottom w:val="single" w:color="000000" w:sz="6" w:space="0"/>
                    <w:right w:val="nil"/>
                  </w:tcBorders>
                </w:tcPr>
                <w:p w14:paraId="588E26F4">
                  <w:pPr>
                    <w:spacing w:before="40" w:after="40"/>
                    <w:jc w:val="center"/>
                  </w:pPr>
                  <w:r>
                    <w:rPr>
                      <w:rFonts w:ascii="Times New Roman" w:hAnsi="Times New Roman" w:eastAsia="宋体" w:cs="Times New Roman"/>
                      <w:b/>
                      <w:bCs/>
                      <w:sz w:val="24"/>
                      <w:szCs w:val="24"/>
                    </w:rPr>
                    <w:t>指标名称</w:t>
                  </w:r>
                </w:p>
              </w:tc>
              <w:tc>
                <w:tcPr>
                  <w:tcW w:w="2200" w:type="dxa"/>
                  <w:tcBorders>
                    <w:top w:val="single" w:color="000000" w:sz="12" w:space="0"/>
                    <w:left w:val="nil"/>
                    <w:bottom w:val="single" w:color="000000" w:sz="6" w:space="0"/>
                    <w:right w:val="nil"/>
                  </w:tcBorders>
                </w:tcPr>
                <w:p w14:paraId="68F4D29A">
                  <w:pPr>
                    <w:spacing w:before="40" w:after="40"/>
                    <w:jc w:val="center"/>
                  </w:pPr>
                  <w:r>
                    <w:rPr>
                      <w:rFonts w:ascii="Times New Roman" w:hAnsi="Times New Roman" w:eastAsia="宋体" w:cs="Times New Roman"/>
                      <w:b/>
                      <w:bCs/>
                      <w:sz w:val="24"/>
                      <w:szCs w:val="24"/>
                    </w:rPr>
                    <w:t>数值</w:t>
                  </w:r>
                </w:p>
              </w:tc>
              <w:tc>
                <w:tcPr>
                  <w:tcW w:w="3160" w:type="dxa"/>
                  <w:tcBorders>
                    <w:top w:val="single" w:color="000000" w:sz="12" w:space="0"/>
                    <w:left w:val="nil"/>
                    <w:bottom w:val="single" w:color="000000" w:sz="6" w:space="0"/>
                    <w:right w:val="nil"/>
                  </w:tcBorders>
                </w:tcPr>
                <w:p w14:paraId="3B6DCA20">
                  <w:pPr>
                    <w:spacing w:before="40" w:after="40"/>
                    <w:jc w:val="center"/>
                  </w:pPr>
                  <w:r>
                    <w:rPr>
                      <w:rFonts w:ascii="Times New Roman" w:hAnsi="Times New Roman" w:eastAsia="宋体" w:cs="Times New Roman"/>
                      <w:b/>
                      <w:bCs/>
                      <w:sz w:val="24"/>
                      <w:szCs w:val="24"/>
                    </w:rPr>
                    <w:t>依据</w:t>
                  </w:r>
                </w:p>
              </w:tc>
            </w:tr>
            <w:tr w14:paraId="11235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nil"/>
                    <w:left w:val="nil"/>
                    <w:bottom w:val="nil"/>
                    <w:right w:val="nil"/>
                  </w:tcBorders>
                </w:tcPr>
                <w:p w14:paraId="33A3F4AB">
                  <w:pPr>
                    <w:spacing w:before="30" w:after="30"/>
                    <w:jc w:val="center"/>
                  </w:pPr>
                  <w:r>
                    <w:rPr>
                      <w:rFonts w:ascii="Times New Roman" w:hAnsi="Times New Roman" w:eastAsia="宋体" w:cs="Times New Roman"/>
                      <w:sz w:val="24"/>
                      <w:szCs w:val="24"/>
                    </w:rPr>
                    <w:t>负荷预测</w:t>
                  </w:r>
                </w:p>
              </w:tc>
              <w:tc>
                <w:tcPr>
                  <w:tcW w:w="2200" w:type="dxa"/>
                  <w:tcBorders>
                    <w:top w:val="nil"/>
                    <w:left w:val="nil"/>
                    <w:bottom w:val="nil"/>
                    <w:right w:val="nil"/>
                  </w:tcBorders>
                </w:tcPr>
                <w:p w14:paraId="58180F1E">
                  <w:pPr>
                    <w:spacing w:before="30" w:after="30"/>
                    <w:jc w:val="center"/>
                  </w:pPr>
                  <w:r>
                    <w:rPr>
                      <w:rFonts w:ascii="Times New Roman" w:hAnsi="Times New Roman" w:eastAsia="宋体" w:cs="Times New Roman"/>
                      <w:sz w:val="24"/>
                      <w:szCs w:val="24"/>
                    </w:rPr>
                    <w:t>验证集MAPE</w:t>
                  </w:r>
                </w:p>
              </w:tc>
              <w:tc>
                <w:tcPr>
                  <w:tcW w:w="2200" w:type="dxa"/>
                  <w:tcBorders>
                    <w:top w:val="nil"/>
                    <w:left w:val="nil"/>
                    <w:bottom w:val="nil"/>
                    <w:right w:val="nil"/>
                  </w:tcBorders>
                </w:tcPr>
                <w:p w14:paraId="0473B3AD">
                  <w:pPr>
                    <w:spacing w:before="30" w:after="30"/>
                    <w:jc w:val="center"/>
                  </w:pPr>
                  <w:r>
                    <w:rPr>
                      <w:rFonts w:ascii="Times New Roman" w:hAnsi="Times New Roman" w:eastAsia="宋体" w:cs="Times New Roman"/>
                      <w:sz w:val="24"/>
                      <w:szCs w:val="24"/>
                    </w:rPr>
                    <w:t>4.61%</w:t>
                  </w:r>
                </w:p>
              </w:tc>
              <w:tc>
                <w:tcPr>
                  <w:tcW w:w="3160" w:type="dxa"/>
                  <w:tcBorders>
                    <w:top w:val="nil"/>
                    <w:left w:val="nil"/>
                    <w:bottom w:val="nil"/>
                    <w:right w:val="nil"/>
                  </w:tcBorders>
                </w:tcPr>
                <w:p w14:paraId="22FEBC41">
                  <w:pPr>
                    <w:spacing w:before="30" w:after="30"/>
                    <w:jc w:val="center"/>
                  </w:pPr>
                  <w:r>
                    <w:rPr>
                      <w:rFonts w:ascii="Times New Roman" w:hAnsi="Times New Roman" w:eastAsia="宋体" w:cs="Times New Roman"/>
                      <w:sz w:val="24"/>
                      <w:szCs w:val="24"/>
                    </w:rPr>
                    <w:t>模块一验证集</w:t>
                  </w:r>
                </w:p>
              </w:tc>
            </w:tr>
            <w:tr w14:paraId="6326D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nil"/>
                    <w:left w:val="nil"/>
                    <w:bottom w:val="nil"/>
                    <w:right w:val="nil"/>
                  </w:tcBorders>
                </w:tcPr>
                <w:p w14:paraId="52689E40">
                  <w:pPr>
                    <w:spacing w:before="30" w:after="30"/>
                    <w:jc w:val="center"/>
                  </w:pPr>
                  <w:r>
                    <w:rPr>
                      <w:rFonts w:ascii="Times New Roman" w:hAnsi="Times New Roman" w:eastAsia="宋体" w:cs="Times New Roman"/>
                      <w:sz w:val="24"/>
                      <w:szCs w:val="24"/>
                    </w:rPr>
                    <w:t>负荷预测</w:t>
                  </w:r>
                </w:p>
              </w:tc>
              <w:tc>
                <w:tcPr>
                  <w:tcW w:w="2200" w:type="dxa"/>
                  <w:tcBorders>
                    <w:top w:val="nil"/>
                    <w:left w:val="nil"/>
                    <w:bottom w:val="nil"/>
                    <w:right w:val="nil"/>
                  </w:tcBorders>
                </w:tcPr>
                <w:p w14:paraId="0EDC954A">
                  <w:pPr>
                    <w:spacing w:before="30" w:after="30"/>
                    <w:jc w:val="center"/>
                  </w:pPr>
                  <w:r>
                    <w:rPr>
                      <w:rFonts w:ascii="Times New Roman" w:hAnsi="Times New Roman" w:eastAsia="宋体" w:cs="Times New Roman"/>
                      <w:sz w:val="24"/>
                      <w:szCs w:val="24"/>
                    </w:rPr>
                    <w:t>验证集R²</w:t>
                  </w:r>
                </w:p>
              </w:tc>
              <w:tc>
                <w:tcPr>
                  <w:tcW w:w="2200" w:type="dxa"/>
                  <w:tcBorders>
                    <w:top w:val="nil"/>
                    <w:left w:val="nil"/>
                    <w:bottom w:val="nil"/>
                    <w:right w:val="nil"/>
                  </w:tcBorders>
                </w:tcPr>
                <w:p w14:paraId="553506F4">
                  <w:pPr>
                    <w:spacing w:before="30" w:after="30"/>
                    <w:jc w:val="center"/>
                  </w:pPr>
                  <w:r>
                    <w:rPr>
                      <w:rFonts w:ascii="Times New Roman" w:hAnsi="Times New Roman" w:eastAsia="宋体" w:cs="Times New Roman"/>
                      <w:sz w:val="24"/>
                      <w:szCs w:val="24"/>
                    </w:rPr>
                    <w:t>0.878</w:t>
                  </w:r>
                </w:p>
              </w:tc>
              <w:tc>
                <w:tcPr>
                  <w:tcW w:w="3160" w:type="dxa"/>
                  <w:tcBorders>
                    <w:top w:val="nil"/>
                    <w:left w:val="nil"/>
                    <w:bottom w:val="nil"/>
                    <w:right w:val="nil"/>
                  </w:tcBorders>
                </w:tcPr>
                <w:p w14:paraId="0FD5D63A">
                  <w:pPr>
                    <w:spacing w:before="30" w:after="30"/>
                    <w:jc w:val="center"/>
                  </w:pPr>
                  <w:r>
                    <w:rPr>
                      <w:rFonts w:ascii="Times New Roman" w:hAnsi="Times New Roman" w:eastAsia="宋体" w:cs="Times New Roman"/>
                      <w:sz w:val="24"/>
                      <w:szCs w:val="24"/>
                    </w:rPr>
                    <w:t>模块一验证集</w:t>
                  </w:r>
                </w:p>
              </w:tc>
            </w:tr>
            <w:tr w14:paraId="7377B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nil"/>
                    <w:left w:val="nil"/>
                    <w:bottom w:val="nil"/>
                    <w:right w:val="nil"/>
                  </w:tcBorders>
                </w:tcPr>
                <w:p w14:paraId="1421F449">
                  <w:pPr>
                    <w:spacing w:before="30" w:after="30"/>
                    <w:jc w:val="center"/>
                  </w:pPr>
                  <w:r>
                    <w:rPr>
                      <w:rFonts w:hint="eastAsia" w:ascii="Times New Roman" w:hAnsi="Times New Roman" w:cs="Times New Roman"/>
                      <w:sz w:val="24"/>
                      <w:szCs w:val="24"/>
                      <w:lang w:val="en-US" w:eastAsia="zh-CN"/>
                    </w:rPr>
                    <w:t>储能</w:t>
                  </w:r>
                  <w:r>
                    <w:rPr>
                      <w:rFonts w:ascii="Times New Roman" w:hAnsi="Times New Roman" w:eastAsia="宋体" w:cs="Times New Roman"/>
                      <w:sz w:val="24"/>
                      <w:szCs w:val="24"/>
                    </w:rPr>
                    <w:t>优化</w:t>
                  </w:r>
                </w:p>
              </w:tc>
              <w:tc>
                <w:tcPr>
                  <w:tcW w:w="2200" w:type="dxa"/>
                  <w:tcBorders>
                    <w:top w:val="nil"/>
                    <w:left w:val="nil"/>
                    <w:bottom w:val="nil"/>
                    <w:right w:val="nil"/>
                  </w:tcBorders>
                </w:tcPr>
                <w:p w14:paraId="4881846C">
                  <w:pPr>
                    <w:spacing w:before="30" w:after="30"/>
                    <w:jc w:val="center"/>
                  </w:pPr>
                  <w:r>
                    <w:rPr>
                      <w:rFonts w:ascii="Times New Roman" w:hAnsi="Times New Roman" w:eastAsia="宋体" w:cs="Times New Roman"/>
                      <w:sz w:val="24"/>
                      <w:szCs w:val="24"/>
                    </w:rPr>
                    <w:t>年省电费</w:t>
                  </w:r>
                </w:p>
              </w:tc>
              <w:tc>
                <w:tcPr>
                  <w:tcW w:w="2200" w:type="dxa"/>
                  <w:tcBorders>
                    <w:top w:val="nil"/>
                    <w:left w:val="nil"/>
                    <w:bottom w:val="nil"/>
                    <w:right w:val="nil"/>
                  </w:tcBorders>
                </w:tcPr>
                <w:p w14:paraId="66EE39D7">
                  <w:pPr>
                    <w:spacing w:before="30" w:after="30"/>
                    <w:jc w:val="center"/>
                  </w:pPr>
                  <w:r>
                    <w:rPr>
                      <w:rFonts w:ascii="Times New Roman" w:hAnsi="Times New Roman" w:eastAsia="宋体" w:cs="Times New Roman"/>
                      <w:sz w:val="24"/>
                      <w:szCs w:val="24"/>
                    </w:rPr>
                    <w:t>1143万元</w:t>
                  </w:r>
                </w:p>
              </w:tc>
              <w:tc>
                <w:tcPr>
                  <w:tcW w:w="3160" w:type="dxa"/>
                  <w:tcBorders>
                    <w:top w:val="nil"/>
                    <w:left w:val="nil"/>
                    <w:bottom w:val="nil"/>
                    <w:right w:val="nil"/>
                  </w:tcBorders>
                </w:tcPr>
                <w:p w14:paraId="66307D1F">
                  <w:pPr>
                    <w:spacing w:before="30" w:after="30"/>
                    <w:jc w:val="center"/>
                  </w:pPr>
                  <w:r>
                    <w:rPr>
                      <w:rFonts w:ascii="Times New Roman" w:hAnsi="Times New Roman" w:eastAsia="宋体" w:cs="Times New Roman"/>
                      <w:sz w:val="24"/>
                      <w:szCs w:val="24"/>
                    </w:rPr>
                    <w:t>方案D vs 基准A</w:t>
                  </w:r>
                </w:p>
              </w:tc>
            </w:tr>
            <w:tr w14:paraId="29E6E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nil"/>
                    <w:left w:val="nil"/>
                    <w:bottom w:val="nil"/>
                    <w:right w:val="nil"/>
                  </w:tcBorders>
                </w:tcPr>
                <w:p w14:paraId="022DB0E0">
                  <w:pPr>
                    <w:spacing w:before="30" w:after="30"/>
                    <w:jc w:val="center"/>
                  </w:pPr>
                  <w:r>
                    <w:rPr>
                      <w:rFonts w:hint="eastAsia" w:ascii="Times New Roman" w:hAnsi="Times New Roman" w:cs="Times New Roman"/>
                      <w:sz w:val="24"/>
                      <w:szCs w:val="24"/>
                      <w:lang w:val="en-US" w:eastAsia="zh-CN"/>
                    </w:rPr>
                    <w:t>储能</w:t>
                  </w:r>
                  <w:r>
                    <w:rPr>
                      <w:rFonts w:ascii="Times New Roman" w:hAnsi="Times New Roman" w:eastAsia="宋体" w:cs="Times New Roman"/>
                      <w:sz w:val="24"/>
                      <w:szCs w:val="24"/>
                    </w:rPr>
                    <w:t>优化</w:t>
                  </w:r>
                </w:p>
              </w:tc>
              <w:tc>
                <w:tcPr>
                  <w:tcW w:w="2200" w:type="dxa"/>
                  <w:tcBorders>
                    <w:top w:val="nil"/>
                    <w:left w:val="nil"/>
                    <w:bottom w:val="nil"/>
                    <w:right w:val="nil"/>
                  </w:tcBorders>
                </w:tcPr>
                <w:p w14:paraId="31E47F42">
                  <w:pPr>
                    <w:spacing w:before="30" w:after="30"/>
                    <w:jc w:val="center"/>
                  </w:pPr>
                  <w:r>
                    <w:rPr>
                      <w:rFonts w:ascii="Times New Roman" w:hAnsi="Times New Roman" w:eastAsia="宋体" w:cs="Times New Roman"/>
                      <w:sz w:val="24"/>
                      <w:szCs w:val="24"/>
                    </w:rPr>
                    <w:t>总投资</w:t>
                  </w:r>
                </w:p>
              </w:tc>
              <w:tc>
                <w:tcPr>
                  <w:tcW w:w="2200" w:type="dxa"/>
                  <w:tcBorders>
                    <w:top w:val="nil"/>
                    <w:left w:val="nil"/>
                    <w:bottom w:val="nil"/>
                    <w:right w:val="nil"/>
                  </w:tcBorders>
                </w:tcPr>
                <w:p w14:paraId="4FB8F341">
                  <w:pPr>
                    <w:spacing w:before="30" w:after="30"/>
                    <w:jc w:val="center"/>
                  </w:pPr>
                  <w:r>
                    <w:rPr>
                      <w:rFonts w:ascii="Times New Roman" w:hAnsi="Times New Roman" w:eastAsia="宋体" w:cs="Times New Roman"/>
                      <w:sz w:val="24"/>
                      <w:szCs w:val="24"/>
                    </w:rPr>
                    <w:t>6760万元</w:t>
                  </w:r>
                </w:p>
              </w:tc>
              <w:tc>
                <w:tcPr>
                  <w:tcW w:w="3160" w:type="dxa"/>
                  <w:tcBorders>
                    <w:top w:val="nil"/>
                    <w:left w:val="nil"/>
                    <w:bottom w:val="nil"/>
                    <w:right w:val="nil"/>
                  </w:tcBorders>
                </w:tcPr>
                <w:p w14:paraId="55F578EA">
                  <w:pPr>
                    <w:spacing w:before="30" w:after="30"/>
                    <w:jc w:val="center"/>
                  </w:pPr>
                  <w:r>
                    <w:rPr>
                      <w:rFonts w:ascii="Times New Roman" w:hAnsi="Times New Roman" w:eastAsia="宋体" w:cs="Times New Roman"/>
                      <w:sz w:val="24"/>
                      <w:szCs w:val="24"/>
                    </w:rPr>
                    <w:t>含储能+光伏+安装</w:t>
                  </w:r>
                </w:p>
              </w:tc>
            </w:tr>
            <w:tr w14:paraId="1E437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nil"/>
                    <w:left w:val="nil"/>
                    <w:bottom w:val="nil"/>
                    <w:right w:val="nil"/>
                  </w:tcBorders>
                </w:tcPr>
                <w:p w14:paraId="564B00C6">
                  <w:pPr>
                    <w:spacing w:before="30" w:after="30"/>
                    <w:jc w:val="center"/>
                  </w:pPr>
                  <w:r>
                    <w:rPr>
                      <w:rFonts w:hint="eastAsia" w:ascii="Times New Roman" w:hAnsi="Times New Roman" w:cs="Times New Roman"/>
                      <w:sz w:val="24"/>
                      <w:szCs w:val="24"/>
                      <w:lang w:val="en-US" w:eastAsia="zh-CN"/>
                    </w:rPr>
                    <w:t>储能</w:t>
                  </w:r>
                  <w:r>
                    <w:rPr>
                      <w:rFonts w:ascii="Times New Roman" w:hAnsi="Times New Roman" w:eastAsia="宋体" w:cs="Times New Roman"/>
                      <w:sz w:val="24"/>
                      <w:szCs w:val="24"/>
                    </w:rPr>
                    <w:t>优化</w:t>
                  </w:r>
                </w:p>
              </w:tc>
              <w:tc>
                <w:tcPr>
                  <w:tcW w:w="2200" w:type="dxa"/>
                  <w:tcBorders>
                    <w:top w:val="nil"/>
                    <w:left w:val="nil"/>
                    <w:bottom w:val="nil"/>
                    <w:right w:val="nil"/>
                  </w:tcBorders>
                </w:tcPr>
                <w:p w14:paraId="12C2129C">
                  <w:pPr>
                    <w:spacing w:before="30" w:after="30"/>
                    <w:jc w:val="center"/>
                  </w:pPr>
                  <w:r>
                    <w:rPr>
                      <w:rFonts w:ascii="Times New Roman" w:hAnsi="Times New Roman" w:eastAsia="宋体" w:cs="Times New Roman"/>
                      <w:sz w:val="24"/>
                      <w:szCs w:val="24"/>
                    </w:rPr>
                    <w:t>投资回收期</w:t>
                  </w:r>
                </w:p>
              </w:tc>
              <w:tc>
                <w:tcPr>
                  <w:tcW w:w="2200" w:type="dxa"/>
                  <w:tcBorders>
                    <w:top w:val="nil"/>
                    <w:left w:val="nil"/>
                    <w:bottom w:val="nil"/>
                    <w:right w:val="nil"/>
                  </w:tcBorders>
                </w:tcPr>
                <w:p w14:paraId="7B2122A9">
                  <w:pPr>
                    <w:spacing w:before="30" w:after="30"/>
                    <w:jc w:val="center"/>
                  </w:pPr>
                  <w:r>
                    <w:rPr>
                      <w:rFonts w:ascii="Times New Roman" w:hAnsi="Times New Roman" w:eastAsia="宋体" w:cs="Times New Roman"/>
                      <w:sz w:val="24"/>
                      <w:szCs w:val="24"/>
                    </w:rPr>
                    <w:t>5.9年</w:t>
                  </w:r>
                </w:p>
              </w:tc>
              <w:tc>
                <w:tcPr>
                  <w:tcW w:w="3160" w:type="dxa"/>
                  <w:tcBorders>
                    <w:top w:val="nil"/>
                    <w:left w:val="nil"/>
                    <w:bottom w:val="nil"/>
                    <w:right w:val="nil"/>
                  </w:tcBorders>
                </w:tcPr>
                <w:p w14:paraId="312E6CAF">
                  <w:pPr>
                    <w:spacing w:before="30" w:after="30"/>
                    <w:jc w:val="center"/>
                  </w:pPr>
                  <w:r>
                    <w:rPr>
                      <w:rFonts w:ascii="Times New Roman" w:hAnsi="Times New Roman" w:eastAsia="宋体" w:cs="Times New Roman"/>
                      <w:sz w:val="24"/>
                      <w:szCs w:val="24"/>
                    </w:rPr>
                    <w:t>静态回收期</w:t>
                  </w:r>
                </w:p>
              </w:tc>
            </w:tr>
            <w:tr w14:paraId="050C5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nil"/>
                    <w:left w:val="nil"/>
                    <w:bottom w:val="nil"/>
                    <w:right w:val="nil"/>
                  </w:tcBorders>
                </w:tcPr>
                <w:p w14:paraId="72E4E3C9">
                  <w:pPr>
                    <w:spacing w:before="30" w:after="30"/>
                    <w:jc w:val="center"/>
                  </w:pPr>
                  <w:r>
                    <w:rPr>
                      <w:rFonts w:hint="eastAsia" w:ascii="Times New Roman" w:hAnsi="Times New Roman" w:cs="Times New Roman"/>
                      <w:sz w:val="24"/>
                      <w:szCs w:val="24"/>
                      <w:lang w:val="en-US" w:eastAsia="zh-CN"/>
                    </w:rPr>
                    <w:t>储能</w:t>
                  </w:r>
                  <w:r>
                    <w:rPr>
                      <w:rFonts w:ascii="Times New Roman" w:hAnsi="Times New Roman" w:eastAsia="宋体" w:cs="Times New Roman"/>
                      <w:sz w:val="24"/>
                      <w:szCs w:val="24"/>
                    </w:rPr>
                    <w:t>优化</w:t>
                  </w:r>
                </w:p>
              </w:tc>
              <w:tc>
                <w:tcPr>
                  <w:tcW w:w="2200" w:type="dxa"/>
                  <w:tcBorders>
                    <w:top w:val="nil"/>
                    <w:left w:val="nil"/>
                    <w:bottom w:val="nil"/>
                    <w:right w:val="nil"/>
                  </w:tcBorders>
                </w:tcPr>
                <w:p w14:paraId="314F92A5">
                  <w:pPr>
                    <w:spacing w:before="30" w:after="30"/>
                    <w:jc w:val="center"/>
                  </w:pPr>
                  <w:r>
                    <w:rPr>
                      <w:rFonts w:ascii="Times New Roman" w:hAnsi="Times New Roman" w:eastAsia="宋体" w:cs="Times New Roman"/>
                      <w:sz w:val="24"/>
                      <w:szCs w:val="24"/>
                    </w:rPr>
                    <w:t>绿电占比</w:t>
                  </w:r>
                </w:p>
              </w:tc>
              <w:tc>
                <w:tcPr>
                  <w:tcW w:w="2200" w:type="dxa"/>
                  <w:tcBorders>
                    <w:top w:val="nil"/>
                    <w:left w:val="nil"/>
                    <w:bottom w:val="nil"/>
                    <w:right w:val="nil"/>
                  </w:tcBorders>
                </w:tcPr>
                <w:p w14:paraId="15770C5C">
                  <w:pPr>
                    <w:spacing w:before="30" w:after="30"/>
                    <w:jc w:val="center"/>
                  </w:pPr>
                  <w:r>
                    <w:rPr>
                      <w:rFonts w:ascii="Times New Roman" w:hAnsi="Times New Roman" w:eastAsia="宋体" w:cs="Times New Roman"/>
                      <w:sz w:val="24"/>
                      <w:szCs w:val="24"/>
                    </w:rPr>
                    <w:t>13.4%</w:t>
                  </w:r>
                </w:p>
              </w:tc>
              <w:tc>
                <w:tcPr>
                  <w:tcW w:w="3160" w:type="dxa"/>
                  <w:tcBorders>
                    <w:top w:val="nil"/>
                    <w:left w:val="nil"/>
                    <w:bottom w:val="nil"/>
                    <w:right w:val="nil"/>
                  </w:tcBorders>
                </w:tcPr>
                <w:p w14:paraId="40878FED">
                  <w:pPr>
                    <w:spacing w:before="30" w:after="30"/>
                    <w:jc w:val="center"/>
                  </w:pPr>
                  <w:r>
                    <w:rPr>
                      <w:rFonts w:hint="eastAsia" w:ascii="Times New Roman" w:hAnsi="Times New Roman" w:eastAsia="宋体" w:cs="Times New Roman"/>
                      <w:sz w:val="24"/>
                      <w:szCs w:val="24"/>
                    </w:rPr>
                    <w:t>绿电溯源与时间搬运</w:t>
                  </w:r>
                </w:p>
              </w:tc>
            </w:tr>
            <w:tr w14:paraId="5E49A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nil"/>
                    <w:left w:val="nil"/>
                    <w:bottom w:val="nil"/>
                    <w:right w:val="nil"/>
                  </w:tcBorders>
                </w:tcPr>
                <w:p w14:paraId="65D3A598">
                  <w:pPr>
                    <w:spacing w:before="30" w:after="30"/>
                    <w:jc w:val="center"/>
                  </w:pPr>
                  <w:r>
                    <w:rPr>
                      <w:rFonts w:ascii="Times New Roman" w:hAnsi="Times New Roman" w:eastAsia="宋体" w:cs="Times New Roman"/>
                      <w:sz w:val="24"/>
                      <w:szCs w:val="24"/>
                    </w:rPr>
                    <w:t>碳减排</w:t>
                  </w:r>
                </w:p>
              </w:tc>
              <w:tc>
                <w:tcPr>
                  <w:tcW w:w="2200" w:type="dxa"/>
                  <w:tcBorders>
                    <w:top w:val="nil"/>
                    <w:left w:val="nil"/>
                    <w:bottom w:val="nil"/>
                    <w:right w:val="nil"/>
                  </w:tcBorders>
                </w:tcPr>
                <w:p w14:paraId="3B37FFE1">
                  <w:pPr>
                    <w:spacing w:before="30" w:after="30"/>
                    <w:jc w:val="center"/>
                  </w:pPr>
                  <w:r>
                    <w:rPr>
                      <w:rFonts w:ascii="Times New Roman" w:hAnsi="Times New Roman" w:eastAsia="宋体" w:cs="Times New Roman"/>
                      <w:sz w:val="24"/>
                      <w:szCs w:val="24"/>
                    </w:rPr>
                    <w:t>企业年排放</w:t>
                  </w:r>
                </w:p>
              </w:tc>
              <w:tc>
                <w:tcPr>
                  <w:tcW w:w="2200" w:type="dxa"/>
                  <w:tcBorders>
                    <w:top w:val="nil"/>
                    <w:left w:val="nil"/>
                    <w:bottom w:val="nil"/>
                    <w:right w:val="nil"/>
                  </w:tcBorders>
                </w:tcPr>
                <w:p w14:paraId="3831100F">
                  <w:pPr>
                    <w:spacing w:before="30" w:after="30"/>
                    <w:jc w:val="center"/>
                  </w:pPr>
                  <w:r>
                    <w:rPr>
                      <w:rFonts w:ascii="Times New Roman" w:hAnsi="Times New Roman" w:eastAsia="宋体" w:cs="Times New Roman"/>
                      <w:sz w:val="24"/>
                      <w:szCs w:val="24"/>
                    </w:rPr>
                    <w:t>61811.6 tCO₂e</w:t>
                  </w:r>
                </w:p>
              </w:tc>
              <w:tc>
                <w:tcPr>
                  <w:tcW w:w="3160" w:type="dxa"/>
                  <w:tcBorders>
                    <w:top w:val="nil"/>
                    <w:left w:val="nil"/>
                    <w:bottom w:val="nil"/>
                    <w:right w:val="nil"/>
                  </w:tcBorders>
                </w:tcPr>
                <w:p w14:paraId="12A23410">
                  <w:pPr>
                    <w:spacing w:before="30" w:after="30"/>
                    <w:jc w:val="center"/>
                  </w:pPr>
                  <w:r>
                    <w:rPr>
                      <w:rFonts w:ascii="Times New Roman" w:hAnsi="Times New Roman" w:eastAsia="宋体" w:cs="Times New Roman"/>
                      <w:sz w:val="24"/>
                      <w:szCs w:val="24"/>
                    </w:rPr>
                    <w:t>范围一28454.8+范围二33356.8</w:t>
                  </w:r>
                </w:p>
              </w:tc>
            </w:tr>
            <w:tr w14:paraId="6F4F2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nil"/>
                    <w:left w:val="nil"/>
                    <w:bottom w:val="nil"/>
                    <w:right w:val="nil"/>
                  </w:tcBorders>
                </w:tcPr>
                <w:p w14:paraId="64912892">
                  <w:pPr>
                    <w:spacing w:before="30" w:after="30"/>
                    <w:jc w:val="center"/>
                  </w:pPr>
                  <w:r>
                    <w:rPr>
                      <w:rFonts w:ascii="Times New Roman" w:hAnsi="Times New Roman" w:eastAsia="宋体" w:cs="Times New Roman"/>
                      <w:sz w:val="24"/>
                      <w:szCs w:val="24"/>
                    </w:rPr>
                    <w:t>碳减排</w:t>
                  </w:r>
                </w:p>
              </w:tc>
              <w:tc>
                <w:tcPr>
                  <w:tcW w:w="2200" w:type="dxa"/>
                  <w:tcBorders>
                    <w:top w:val="nil"/>
                    <w:left w:val="nil"/>
                    <w:bottom w:val="nil"/>
                    <w:right w:val="nil"/>
                  </w:tcBorders>
                </w:tcPr>
                <w:p w14:paraId="107FCC94">
                  <w:pPr>
                    <w:spacing w:before="30" w:after="30"/>
                    <w:jc w:val="center"/>
                  </w:pPr>
                  <w:r>
                    <w:rPr>
                      <w:rFonts w:ascii="Times New Roman" w:hAnsi="Times New Roman" w:eastAsia="宋体" w:cs="Times New Roman"/>
                      <w:sz w:val="24"/>
                      <w:szCs w:val="24"/>
                    </w:rPr>
                    <w:t>项目年减排量</w:t>
                  </w:r>
                </w:p>
              </w:tc>
              <w:tc>
                <w:tcPr>
                  <w:tcW w:w="2200" w:type="dxa"/>
                  <w:tcBorders>
                    <w:top w:val="nil"/>
                    <w:left w:val="nil"/>
                    <w:bottom w:val="nil"/>
                    <w:right w:val="nil"/>
                  </w:tcBorders>
                </w:tcPr>
                <w:p w14:paraId="46F571B3">
                  <w:pPr>
                    <w:spacing w:before="30" w:after="30"/>
                    <w:jc w:val="center"/>
                  </w:pPr>
                  <w:r>
                    <w:rPr>
                      <w:rFonts w:ascii="Times New Roman" w:hAnsi="Times New Roman" w:eastAsia="宋体" w:cs="Times New Roman"/>
                      <w:sz w:val="24"/>
                      <w:szCs w:val="24"/>
                    </w:rPr>
                    <w:t>3496 tCO₂e</w:t>
                  </w:r>
                </w:p>
              </w:tc>
              <w:tc>
                <w:tcPr>
                  <w:tcW w:w="3160" w:type="dxa"/>
                  <w:tcBorders>
                    <w:top w:val="nil"/>
                    <w:left w:val="nil"/>
                    <w:bottom w:val="nil"/>
                    <w:right w:val="nil"/>
                  </w:tcBorders>
                </w:tcPr>
                <w:p w14:paraId="08345ED7">
                  <w:pPr>
                    <w:spacing w:before="30" w:after="30"/>
                    <w:jc w:val="center"/>
                  </w:pPr>
                  <w:r>
                    <w:rPr>
                      <w:rFonts w:ascii="Times New Roman" w:hAnsi="Times New Roman" w:eastAsia="宋体" w:cs="Times New Roman"/>
                      <w:sz w:val="24"/>
                      <w:szCs w:val="24"/>
                    </w:rPr>
                    <w:t>ER=BE-PE-LE</w:t>
                  </w:r>
                </w:p>
              </w:tc>
            </w:tr>
            <w:tr w14:paraId="69DAF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nil"/>
                    <w:left w:val="nil"/>
                    <w:bottom w:val="nil"/>
                    <w:right w:val="nil"/>
                  </w:tcBorders>
                </w:tcPr>
                <w:p w14:paraId="2F313ED9">
                  <w:pPr>
                    <w:spacing w:before="30" w:after="30"/>
                    <w:jc w:val="center"/>
                  </w:pPr>
                  <w:r>
                    <w:rPr>
                      <w:rFonts w:ascii="Times New Roman" w:hAnsi="Times New Roman" w:eastAsia="宋体" w:cs="Times New Roman"/>
                      <w:sz w:val="24"/>
                      <w:szCs w:val="24"/>
                    </w:rPr>
                    <w:t>碳减排</w:t>
                  </w:r>
                </w:p>
              </w:tc>
              <w:tc>
                <w:tcPr>
                  <w:tcW w:w="2200" w:type="dxa"/>
                  <w:tcBorders>
                    <w:top w:val="nil"/>
                    <w:left w:val="nil"/>
                    <w:bottom w:val="nil"/>
                    <w:right w:val="nil"/>
                  </w:tcBorders>
                </w:tcPr>
                <w:p w14:paraId="77EEDA6A">
                  <w:pPr>
                    <w:spacing w:before="30" w:after="30"/>
                    <w:jc w:val="center"/>
                  </w:pPr>
                  <w:r>
                    <w:rPr>
                      <w:rFonts w:ascii="Times New Roman" w:hAnsi="Times New Roman" w:eastAsia="宋体" w:cs="Times New Roman"/>
                      <w:sz w:val="24"/>
                      <w:szCs w:val="24"/>
                    </w:rPr>
                    <w:t>净年减排量</w:t>
                  </w:r>
                </w:p>
              </w:tc>
              <w:tc>
                <w:tcPr>
                  <w:tcW w:w="2200" w:type="dxa"/>
                  <w:tcBorders>
                    <w:top w:val="nil"/>
                    <w:left w:val="nil"/>
                    <w:bottom w:val="nil"/>
                    <w:right w:val="nil"/>
                  </w:tcBorders>
                </w:tcPr>
                <w:p w14:paraId="106851C8">
                  <w:pPr>
                    <w:spacing w:before="30" w:after="30"/>
                    <w:jc w:val="center"/>
                  </w:pPr>
                  <w:r>
                    <w:rPr>
                      <w:rFonts w:ascii="Times New Roman" w:hAnsi="Times New Roman" w:eastAsia="宋体" w:cs="Times New Roman"/>
                      <w:sz w:val="24"/>
                      <w:szCs w:val="24"/>
                    </w:rPr>
                    <w:t>3412 tCO₂e</w:t>
                  </w:r>
                </w:p>
              </w:tc>
              <w:tc>
                <w:tcPr>
                  <w:tcW w:w="3160" w:type="dxa"/>
                  <w:tcBorders>
                    <w:top w:val="nil"/>
                    <w:left w:val="nil"/>
                    <w:bottom w:val="nil"/>
                    <w:right w:val="nil"/>
                  </w:tcBorders>
                </w:tcPr>
                <w:p w14:paraId="40CCA727">
                  <w:pPr>
                    <w:spacing w:before="30" w:after="30"/>
                    <w:jc w:val="center"/>
                  </w:pPr>
                  <w:r>
                    <w:rPr>
                      <w:rFonts w:ascii="Times New Roman" w:hAnsi="Times New Roman" w:eastAsia="宋体" w:cs="Times New Roman"/>
                      <w:sz w:val="24"/>
                      <w:szCs w:val="24"/>
                    </w:rPr>
                    <w:t>扣除LCA隐含碳84t</w:t>
                  </w:r>
                </w:p>
              </w:tc>
            </w:tr>
            <w:tr w14:paraId="29E18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nil"/>
                    <w:left w:val="nil"/>
                    <w:bottom w:val="nil"/>
                    <w:right w:val="nil"/>
                  </w:tcBorders>
                </w:tcPr>
                <w:p w14:paraId="1026DB9C">
                  <w:pPr>
                    <w:spacing w:before="30" w:after="30"/>
                    <w:jc w:val="center"/>
                  </w:pPr>
                  <w:r>
                    <w:rPr>
                      <w:rFonts w:ascii="Times New Roman" w:hAnsi="Times New Roman" w:eastAsia="宋体" w:cs="Times New Roman"/>
                      <w:sz w:val="24"/>
                      <w:szCs w:val="24"/>
                    </w:rPr>
                    <w:t>系统配置</w:t>
                  </w:r>
                </w:p>
              </w:tc>
              <w:tc>
                <w:tcPr>
                  <w:tcW w:w="2200" w:type="dxa"/>
                  <w:tcBorders>
                    <w:top w:val="nil"/>
                    <w:left w:val="nil"/>
                    <w:bottom w:val="nil"/>
                    <w:right w:val="nil"/>
                  </w:tcBorders>
                </w:tcPr>
                <w:p w14:paraId="0E407160">
                  <w:pPr>
                    <w:spacing w:before="30" w:after="30"/>
                    <w:jc w:val="center"/>
                  </w:pPr>
                  <w:r>
                    <w:rPr>
                      <w:rFonts w:ascii="Times New Roman" w:hAnsi="Times New Roman" w:eastAsia="宋体" w:cs="Times New Roman"/>
                      <w:sz w:val="24"/>
                      <w:szCs w:val="24"/>
                    </w:rPr>
                    <w:t>储能容量</w:t>
                  </w:r>
                </w:p>
              </w:tc>
              <w:tc>
                <w:tcPr>
                  <w:tcW w:w="2200" w:type="dxa"/>
                  <w:tcBorders>
                    <w:top w:val="nil"/>
                    <w:left w:val="nil"/>
                    <w:bottom w:val="nil"/>
                    <w:right w:val="nil"/>
                  </w:tcBorders>
                </w:tcPr>
                <w:p w14:paraId="0331223E">
                  <w:pPr>
                    <w:spacing w:before="30" w:after="30"/>
                    <w:jc w:val="center"/>
                  </w:pPr>
                  <w:r>
                    <w:rPr>
                      <w:rFonts w:ascii="Times New Roman" w:hAnsi="Times New Roman" w:eastAsia="宋体" w:cs="Times New Roman"/>
                      <w:sz w:val="24"/>
                      <w:szCs w:val="24"/>
                    </w:rPr>
                    <w:t>16MWh/8MW</w:t>
                  </w:r>
                </w:p>
              </w:tc>
              <w:tc>
                <w:tcPr>
                  <w:tcW w:w="3160" w:type="dxa"/>
                  <w:tcBorders>
                    <w:top w:val="nil"/>
                    <w:left w:val="nil"/>
                    <w:bottom w:val="nil"/>
                    <w:right w:val="nil"/>
                  </w:tcBorders>
                </w:tcPr>
                <w:p w14:paraId="48FA3F62">
                  <w:pPr>
                    <w:spacing w:before="30" w:after="30"/>
                    <w:jc w:val="center"/>
                  </w:pPr>
                  <w:r>
                    <w:rPr>
                      <w:rFonts w:ascii="Times New Roman" w:hAnsi="Times New Roman" w:eastAsia="宋体" w:cs="Times New Roman"/>
                      <w:sz w:val="24"/>
                      <w:szCs w:val="24"/>
                    </w:rPr>
                    <w:t>宁德时代EnerC</w:t>
                  </w:r>
                </w:p>
              </w:tc>
            </w:tr>
            <w:tr w14:paraId="2CED9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nil"/>
                    <w:left w:val="nil"/>
                    <w:bottom w:val="single" w:color="000000" w:sz="12" w:space="0"/>
                    <w:right w:val="nil"/>
                  </w:tcBorders>
                </w:tcPr>
                <w:p w14:paraId="655F721B">
                  <w:pPr>
                    <w:spacing w:before="30" w:after="30"/>
                    <w:jc w:val="center"/>
                  </w:pPr>
                  <w:r>
                    <w:rPr>
                      <w:rFonts w:ascii="Times New Roman" w:hAnsi="Times New Roman" w:eastAsia="宋体" w:cs="Times New Roman"/>
                      <w:sz w:val="24"/>
                      <w:szCs w:val="24"/>
                    </w:rPr>
                    <w:t>系统配置</w:t>
                  </w:r>
                </w:p>
              </w:tc>
              <w:tc>
                <w:tcPr>
                  <w:tcW w:w="2200" w:type="dxa"/>
                  <w:tcBorders>
                    <w:top w:val="nil"/>
                    <w:left w:val="nil"/>
                    <w:bottom w:val="single" w:color="000000" w:sz="12" w:space="0"/>
                    <w:right w:val="nil"/>
                  </w:tcBorders>
                </w:tcPr>
                <w:p w14:paraId="4890A287">
                  <w:pPr>
                    <w:spacing w:before="30" w:after="30"/>
                    <w:jc w:val="center"/>
                  </w:pPr>
                  <w:r>
                    <w:rPr>
                      <w:rFonts w:ascii="Times New Roman" w:hAnsi="Times New Roman" w:eastAsia="宋体" w:cs="Times New Roman"/>
                      <w:sz w:val="24"/>
                      <w:szCs w:val="24"/>
                    </w:rPr>
                    <w:t>光伏容量</w:t>
                  </w:r>
                </w:p>
              </w:tc>
              <w:tc>
                <w:tcPr>
                  <w:tcW w:w="2200" w:type="dxa"/>
                  <w:tcBorders>
                    <w:top w:val="nil"/>
                    <w:left w:val="nil"/>
                    <w:bottom w:val="single" w:color="000000" w:sz="12" w:space="0"/>
                    <w:right w:val="nil"/>
                  </w:tcBorders>
                </w:tcPr>
                <w:p w14:paraId="4F17C751">
                  <w:pPr>
                    <w:spacing w:before="30" w:after="30"/>
                    <w:jc w:val="center"/>
                  </w:pPr>
                  <w:r>
                    <w:rPr>
                      <w:rFonts w:ascii="Times New Roman" w:hAnsi="Times New Roman" w:eastAsia="宋体" w:cs="Times New Roman"/>
                      <w:sz w:val="24"/>
                      <w:szCs w:val="24"/>
                    </w:rPr>
                    <w:t>10.5MW</w:t>
                  </w:r>
                </w:p>
              </w:tc>
              <w:tc>
                <w:tcPr>
                  <w:tcW w:w="3160" w:type="dxa"/>
                  <w:tcBorders>
                    <w:top w:val="nil"/>
                    <w:left w:val="nil"/>
                    <w:bottom w:val="single" w:color="000000" w:sz="12" w:space="0"/>
                    <w:right w:val="nil"/>
                  </w:tcBorders>
                </w:tcPr>
                <w:p w14:paraId="1D95219C">
                  <w:pPr>
                    <w:spacing w:before="30" w:after="30"/>
                    <w:jc w:val="center"/>
                  </w:pPr>
                  <w:r>
                    <w:rPr>
                      <w:rFonts w:ascii="Times New Roman" w:hAnsi="Times New Roman" w:eastAsia="宋体" w:cs="Times New Roman"/>
                      <w:sz w:val="24"/>
                      <w:szCs w:val="24"/>
                    </w:rPr>
                    <w:t>30公顷</w:t>
                  </w:r>
                  <w:r>
                    <w:rPr>
                      <w:rFonts w:hint="eastAsia" w:ascii="Times New Roman" w:hAnsi="Times New Roman" w:cs="Times New Roman"/>
                      <w:sz w:val="24"/>
                      <w:szCs w:val="24"/>
                      <w:lang w:val="en-US" w:eastAsia="zh-CN"/>
                    </w:rPr>
                    <w:t>厂区</w:t>
                  </w:r>
                  <w:r>
                    <w:rPr>
                      <w:rFonts w:ascii="Times New Roman" w:hAnsi="Times New Roman" w:eastAsia="宋体" w:cs="Times New Roman"/>
                      <w:sz w:val="24"/>
                      <w:szCs w:val="24"/>
                    </w:rPr>
                    <w:t>面积约束</w:t>
                  </w:r>
                </w:p>
              </w:tc>
            </w:tr>
          </w:tbl>
          <w:p w14:paraId="300ABBAA">
            <w:pPr>
              <w:spacing w:after="60" w:line="360" w:lineRule="auto"/>
              <w:ind w:firstLine="480"/>
              <w:jc w:val="both"/>
            </w:pPr>
            <w:r>
              <w:rPr>
                <w:rFonts w:ascii="Times New Roman" w:hAnsi="Times New Roman" w:eastAsia="宋体" w:cs="Times New Roman"/>
                <w:sz w:val="24"/>
                <w:szCs w:val="24"/>
              </w:rPr>
              <w:t>从表1可以看出，本项目在能源经济性、碳减排效果和系统可靠性三个维度均达到了行业领先水平。年省电费1143万元的经济性指标使得项目投资回收期仅为5.9年，远优于行业平均水平（5~8年）。年碳减排量3496 tCO₂e（净减排3412 tCO₂e）使得污水处理厂向零碳目标迈出了实质性的一步。</w:t>
            </w:r>
          </w:p>
          <w:p w14:paraId="6E35C3DF">
            <w:pPr>
              <w:pStyle w:val="4"/>
              <w:keepNext/>
              <w:keepLines/>
              <w:spacing w:before="180" w:after="100"/>
            </w:pPr>
            <w:r>
              <w:rPr>
                <w:rFonts w:ascii="Times New Roman" w:hAnsi="Times New Roman" w:eastAsia="宋体" w:cs="Times New Roman"/>
                <w:b/>
                <w:bCs/>
                <w:sz w:val="28"/>
                <w:szCs w:val="28"/>
              </w:rPr>
              <w:t>4.5 系统集成与验证</w:t>
            </w:r>
          </w:p>
          <w:p w14:paraId="1DA1E2C4">
            <w:pPr>
              <w:spacing w:after="60" w:line="360" w:lineRule="auto"/>
              <w:ind w:firstLine="480"/>
              <w:jc w:val="both"/>
            </w:pPr>
            <w:r>
              <w:rPr>
                <w:rFonts w:ascii="Times New Roman" w:hAnsi="Times New Roman" w:eastAsia="宋体" w:cs="Times New Roman"/>
                <w:sz w:val="24"/>
                <w:szCs w:val="24"/>
              </w:rPr>
              <w:t>三大模块通过标准化的数据接口实现有机集成。模块一输出的24h逐时负荷预测值P_load(t)传入模块二作为调度约束；模块二的优化调度结果（充放电计划、绿电消耗量）传入模块三作为碳核算输入；模块三的碳核算结果反馈至模块二，用于下一轮调度的碳排放因子修正，形成完整的“预测-调度-核算”闭环。</w:t>
            </w:r>
          </w:p>
          <w:p w14:paraId="70C41128">
            <w:pPr>
              <w:spacing w:after="60" w:line="360" w:lineRule="auto"/>
              <w:ind w:firstLine="480"/>
              <w:jc w:val="both"/>
            </w:pPr>
            <w:r>
              <w:rPr>
                <w:rFonts w:ascii="Times New Roman" w:hAnsi="Times New Roman" w:eastAsia="宋体" w:cs="Times New Roman"/>
                <w:sz w:val="24"/>
                <w:szCs w:val="24"/>
              </w:rPr>
              <w:t>系统集成验证将采用分步验证+联调验证的两阶段策略。分步验证阶段分别对三个模块的独立性能进行测试，确保各模块输出满足设计指标；联调验证阶段在模拟环境中进行全系统72小时连续运行测试，验证模块间接口兼容性、数据流转正确性和系统整体优化效果。专利CN121813468A[23]中描述的污水厂光储协同供电架构为本项目的工程集成提供了重要参考。</w:t>
            </w:r>
          </w:p>
          <w:p w14:paraId="5E8CB049">
            <w:pPr>
              <w:spacing w:after="60" w:line="360" w:lineRule="auto"/>
              <w:ind w:firstLine="480"/>
              <w:jc w:val="both"/>
            </w:pPr>
            <w:r>
              <w:rPr>
                <w:rFonts w:ascii="Times New Roman" w:hAnsi="Times New Roman" w:eastAsia="宋体" w:cs="Times New Roman"/>
                <w:sz w:val="24"/>
                <w:szCs w:val="24"/>
              </w:rPr>
              <w:t>4.6 可视化呈现与数字大屏</w:t>
            </w:r>
          </w:p>
          <w:p w14:paraId="1E0E4849">
            <w:pPr>
              <w:spacing w:after="60" w:line="360" w:lineRule="auto"/>
              <w:ind w:firstLine="480"/>
              <w:jc w:val="both"/>
            </w:pPr>
            <w:r>
              <w:rPr>
                <w:rFonts w:ascii="Times New Roman" w:hAnsi="Times New Roman" w:eastAsia="宋体" w:cs="Times New Roman"/>
                <w:sz w:val="24"/>
                <w:szCs w:val="24"/>
              </w:rPr>
              <w:t>为将三大模块的分析结果直观呈现给运营管理者与评审专家，本项目基于Streamlit搭建可交互网页应用，并配套数字大屏。数字大屏面向污水厂中控室场景，分层展示绿电占比、年省电费、碳减排量等核心指标；交互网页支持参数调整与四情景对比（基准/仅光伏/光储/光储柔），实现从数据到决策的闭环呈现。</w:t>
            </w:r>
          </w:p>
        </w:tc>
      </w:tr>
      <w:tr w14:paraId="275046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690" w:type="dxa"/>
            <w:gridSpan w:val="3"/>
            <w:shd w:val="clear" w:color="auto" w:fill="auto"/>
            <w:vAlign w:val="center"/>
          </w:tcPr>
          <w:p w14:paraId="04269872">
            <w:pPr>
              <w:numPr>
                <w:ilvl w:val="0"/>
                <w:numId w:val="0"/>
              </w:numPr>
              <w:spacing w:before="120" w:after="120" w:line="360" w:lineRule="auto"/>
              <w:ind w:left="0" w:leftChars="0" w:firstLine="0" w:firstLineChars="0"/>
              <w:jc w:val="left"/>
              <w:rPr>
                <w:rFonts w:ascii="黑体" w:hAnsi="黑体" w:eastAsia="黑体"/>
                <w:b/>
                <w:sz w:val="28"/>
              </w:rPr>
            </w:pPr>
            <w:r>
              <w:rPr>
                <w:rFonts w:hint="eastAsia" w:ascii="黑体" w:hAnsi="黑体" w:eastAsia="黑体" w:cstheme="minorBidi"/>
                <w:b/>
                <w:sz w:val="28"/>
                <w:szCs w:val="22"/>
                <w:lang w:val="en-US" w:eastAsia="zh-CN" w:bidi="ar-SA"/>
              </w:rPr>
              <w:t>五</w:t>
            </w:r>
            <w:r>
              <w:rPr>
                <w:rFonts w:hint="eastAsia" w:ascii="黑体" w:hAnsi="黑体" w:eastAsia="黑体" w:cstheme="minorBidi"/>
                <w:b/>
                <w:sz w:val="28"/>
                <w:szCs w:val="22"/>
                <w:lang w:val="en-US" w:eastAsia="en-US" w:bidi="ar-SA"/>
              </w:rPr>
              <w:t>、</w:t>
            </w:r>
            <w:r>
              <w:rPr>
                <w:rFonts w:ascii="黑体" w:hAnsi="黑体" w:eastAsia="黑体"/>
                <w:b/>
                <w:sz w:val="28"/>
              </w:rPr>
              <w:t>项目特色与创新之处（≤500字）</w:t>
            </w:r>
          </w:p>
          <w:p w14:paraId="03BE136F">
            <w:pPr>
              <w:spacing w:after="60" w:line="360" w:lineRule="auto"/>
              <w:ind w:firstLine="480"/>
              <w:jc w:val="both"/>
            </w:pPr>
            <w:r>
              <w:rPr>
                <w:rFonts w:ascii="Times New Roman" w:hAnsi="Times New Roman" w:eastAsia="宋体" w:cs="Times New Roman"/>
                <w:sz w:val="24"/>
                <w:szCs w:val="24"/>
              </w:rPr>
              <w:t>本项目具有以下五个方面的特色与创新：</w:t>
            </w:r>
          </w:p>
          <w:p w14:paraId="055B47E0">
            <w:pPr>
              <w:spacing w:after="60" w:line="360" w:lineRule="auto"/>
              <w:ind w:firstLine="480"/>
              <w:jc w:val="both"/>
            </w:pPr>
            <w:r>
              <w:rPr>
                <w:rFonts w:ascii="Times New Roman" w:hAnsi="Times New Roman" w:eastAsia="宋体" w:cs="Times New Roman"/>
                <w:b/>
                <w:bCs/>
                <w:sz w:val="24"/>
                <w:szCs w:val="24"/>
              </w:rPr>
              <w:t>创新点一：电-碳双驱耦合优化范式。</w:t>
            </w:r>
            <w:r>
              <w:rPr>
                <w:rFonts w:ascii="Times New Roman" w:hAnsi="Times New Roman" w:eastAsia="宋体" w:cs="Times New Roman"/>
                <w:sz w:val="24"/>
                <w:szCs w:val="24"/>
              </w:rPr>
              <w:t>突破传统储能调度以电价为单一目标的局限，构建了linprog双目标（经济成本+碳排放）联合优化框架，首次在污水处理场景中实现经济性与碳减排的同步寻优，为行业提供了可推广的电碳耦合方法论。</w:t>
            </w:r>
          </w:p>
          <w:p w14:paraId="68AC5B83">
            <w:pPr>
              <w:spacing w:after="60" w:line="360" w:lineRule="auto"/>
              <w:ind w:firstLine="480"/>
              <w:jc w:val="both"/>
            </w:pPr>
            <w:r>
              <w:rPr>
                <w:rFonts w:hint="eastAsia" w:ascii="宋体" w:hAnsi="宋体" w:eastAsia="宋体" w:cs="宋体"/>
                <w:b/>
                <w:bCs/>
                <w:sz w:val="24"/>
                <w:szCs w:val="24"/>
              </w:rPr>
              <w:t>创新点二：逐时动态碳排放因子与避碳调度。</w:t>
            </w:r>
            <w:r>
              <w:rPr>
                <w:rFonts w:ascii="Times New Roman" w:hAnsi="Times New Roman" w:eastAsia="宋体" w:cs="Times New Roman"/>
                <w:sz w:val="24"/>
                <w:szCs w:val="24"/>
              </w:rPr>
              <w:t>提出“电价代理”方法构造逐时动态碳排放因子EF_opt(t)，通过广东电力市场中长期与现货联动价的min-max归一化映射并年均校准至0.4419 tCO₂/MWh，使储能系统具备“避碳调度”能力——在电网碳排放强度高时减少购电、低时优先充电。</w:t>
            </w:r>
          </w:p>
          <w:p w14:paraId="0639D52F">
            <w:pPr>
              <w:spacing w:after="60" w:line="360" w:lineRule="auto"/>
              <w:ind w:firstLine="480"/>
              <w:jc w:val="both"/>
              <w:rPr>
                <w:b w:val="0"/>
                <w:bCs w:val="0"/>
              </w:rPr>
            </w:pPr>
            <w:r>
              <w:rPr>
                <w:rFonts w:hint="eastAsia" w:ascii="宋体" w:hAnsi="宋体" w:eastAsia="宋体" w:cs="宋体"/>
                <w:b/>
                <w:bCs/>
                <w:sz w:val="24"/>
                <w:szCs w:val="24"/>
              </w:rPr>
              <w:t>创新点三：绿电溯源与时间搬运。</w:t>
            </w:r>
            <w:r>
              <w:rPr>
                <w:rFonts w:hint="eastAsia" w:ascii="Times New Roman" w:hAnsi="Times New Roman" w:eastAsia="宋体" w:cs="Times New Roman"/>
                <w:b w:val="0"/>
                <w:bCs w:val="0"/>
                <w:sz w:val="24"/>
                <w:szCs w:val="24"/>
              </w:rPr>
              <w:t>统一绿电占比核算口径，逐时追踪光伏直供、光伏充储、储能放电替代购电三类绿电流向，储能实现绿电的跨时段搬运，确保     绿电占比数据的真实性和可追溯性。</w:t>
            </w:r>
          </w:p>
          <w:p w14:paraId="0A70A89A">
            <w:pPr>
              <w:spacing w:after="60" w:line="360" w:lineRule="auto"/>
              <w:ind w:firstLine="480"/>
              <w:jc w:val="both"/>
            </w:pPr>
            <w:r>
              <w:rPr>
                <w:rFonts w:hint="eastAsia" w:ascii="宋体" w:hAnsi="宋体" w:eastAsia="宋体" w:cs="宋体"/>
                <w:b/>
                <w:bCs/>
                <w:sz w:val="24"/>
                <w:szCs w:val="24"/>
              </w:rPr>
              <w:t>创新点四：预测-调度-核算全链条闭环与双模式滞回控制</w:t>
            </w:r>
            <w:r>
              <w:rPr>
                <w:rFonts w:ascii="Times New Roman" w:hAnsi="Times New Roman" w:eastAsia="宋体" w:cs="Times New Roman"/>
                <w:b/>
                <w:bCs/>
                <w:sz w:val="24"/>
                <w:szCs w:val="24"/>
              </w:rPr>
              <w:t>。</w:t>
            </w:r>
            <w:r>
              <w:rPr>
                <w:rFonts w:ascii="Times New Roman" w:hAnsi="Times New Roman" w:eastAsia="宋体" w:cs="Times New Roman"/>
                <w:sz w:val="24"/>
                <w:szCs w:val="24"/>
              </w:rPr>
              <w:t>三大模块通过标准化接口形成信息闭环，预测误差可反馈至调度策略修正，核算结果可驱动下一轮调度优化；双模式滞回状态机（连续3天重压切换、至少维持1天切回）保证了工程运行的稳定性。</w:t>
            </w:r>
          </w:p>
          <w:p w14:paraId="7A1D512D">
            <w:pPr>
              <w:numPr>
                <w:ilvl w:val="0"/>
                <w:numId w:val="0"/>
              </w:numPr>
              <w:spacing w:before="120" w:after="120" w:line="360" w:lineRule="auto"/>
              <w:ind w:leftChars="0" w:firstLine="482" w:firstLineChars="200"/>
              <w:jc w:val="left"/>
              <w:rPr>
                <w:rFonts w:ascii="黑体" w:hAnsi="黑体" w:eastAsia="黑体"/>
                <w:b/>
                <w:sz w:val="28"/>
              </w:rPr>
            </w:pPr>
            <w:r>
              <w:rPr>
                <w:rFonts w:hint="eastAsia" w:ascii="宋体" w:hAnsi="宋体" w:eastAsia="宋体" w:cs="宋体"/>
                <w:b/>
                <w:bCs/>
                <w:sz w:val="24"/>
                <w:szCs w:val="24"/>
              </w:rPr>
              <w:t>创新点五：三账碳核算与LCA全生命周期评价体系。</w:t>
            </w:r>
            <w:r>
              <w:rPr>
                <w:rFonts w:ascii="Times New Roman" w:hAnsi="Times New Roman" w:eastAsia="宋体" w:cs="Times New Roman"/>
                <w:sz w:val="24"/>
                <w:szCs w:val="24"/>
              </w:rPr>
              <w:t>建立“企业清单账+项目减排账+LCA全生命周期账”三账体系，对标GB/T 46725—2025[</w:t>
            </w:r>
            <w:r>
              <w:rPr>
                <w:rFonts w:hint="eastAsia" w:ascii="Times New Roman" w:hAnsi="Times New Roman" w:cs="Times New Roman"/>
                <w:sz w:val="24"/>
                <w:szCs w:val="24"/>
                <w:lang w:val="en-US" w:eastAsia="zh-CN"/>
              </w:rPr>
              <w:t>18</w:t>
            </w:r>
            <w:r>
              <w:rPr>
                <w:rFonts w:ascii="Times New Roman" w:hAnsi="Times New Roman" w:eastAsia="宋体" w:cs="Times New Roman"/>
                <w:sz w:val="24"/>
                <w:szCs w:val="24"/>
              </w:rPr>
              <w:t>]、T/CRSUD 001-2023[</w:t>
            </w:r>
            <w:r>
              <w:rPr>
                <w:rFonts w:hint="eastAsia" w:ascii="Times New Roman" w:hAnsi="Times New Roman" w:cs="Times New Roman"/>
                <w:sz w:val="24"/>
                <w:szCs w:val="24"/>
                <w:lang w:val="en-US" w:eastAsia="zh-CN"/>
              </w:rPr>
              <w:t>19</w:t>
            </w:r>
            <w:r>
              <w:rPr>
                <w:rFonts w:ascii="Times New Roman" w:hAnsi="Times New Roman" w:eastAsia="宋体" w:cs="Times New Roman"/>
                <w:sz w:val="24"/>
                <w:szCs w:val="24"/>
              </w:rPr>
              <w:t>]等最新标准，首次将储能设备全生命周期隐含碳纳入污水处理厂碳核算框架，为行业碳核算提供了更加完整和严谨的方法学支撑。</w:t>
            </w:r>
          </w:p>
        </w:tc>
      </w:tr>
      <w:tr w14:paraId="426876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690" w:type="dxa"/>
            <w:gridSpan w:val="3"/>
            <w:shd w:val="clear" w:color="auto" w:fill="auto"/>
            <w:vAlign w:val="center"/>
          </w:tcPr>
          <w:p w14:paraId="08FE33D0">
            <w:pPr>
              <w:spacing w:before="120" w:after="120" w:line="360" w:lineRule="auto"/>
              <w:jc w:val="left"/>
            </w:pPr>
            <w:r>
              <w:rPr>
                <w:rFonts w:ascii="黑体" w:hAnsi="黑体" w:eastAsia="黑体"/>
                <w:b/>
                <w:sz w:val="28"/>
              </w:rPr>
              <w:t>六、AI使用情况披露（≤200字）</w:t>
            </w:r>
          </w:p>
        </w:tc>
      </w:tr>
      <w:tr w14:paraId="363EA0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690" w:type="dxa"/>
            <w:gridSpan w:val="3"/>
            <w:shd w:val="clear" w:color="auto" w:fill="auto"/>
            <w:vAlign w:val="center"/>
          </w:tcPr>
          <w:p w14:paraId="5D39B75F">
            <w:pPr>
              <w:spacing w:before="20" w:after="20" w:line="360" w:lineRule="auto"/>
              <w:ind w:firstLine="480"/>
            </w:pPr>
            <w:r>
              <w:rPr>
                <w:rFonts w:ascii="宋体" w:hAnsi="宋体" w:eastAsia="宋体"/>
                <w:b w:val="0"/>
                <w:sz w:val="24"/>
              </w:rPr>
              <w:t>在项目开展过程中，团队在代码编写和</w:t>
            </w:r>
            <w:r>
              <w:rPr>
                <w:rFonts w:hint="eastAsia"/>
                <w:b w:val="0"/>
                <w:sz w:val="24"/>
                <w:lang w:val="en-US" w:eastAsia="zh-CN"/>
              </w:rPr>
              <w:t>视频特效制作</w:t>
            </w:r>
            <w:r>
              <w:rPr>
                <w:rFonts w:ascii="宋体" w:hAnsi="宋体" w:eastAsia="宋体"/>
                <w:b w:val="0"/>
                <w:sz w:val="24"/>
              </w:rPr>
              <w:t>环节使用了AI辅助工具，主要用于代码模板生成、注释补全和</w:t>
            </w:r>
            <w:r>
              <w:rPr>
                <w:rFonts w:hint="eastAsia"/>
                <w:b w:val="0"/>
                <w:sz w:val="24"/>
                <w:lang w:val="en-US" w:eastAsia="zh-CN"/>
              </w:rPr>
              <w:t>简单特效生成</w:t>
            </w:r>
            <w:r>
              <w:rPr>
                <w:rFonts w:ascii="宋体" w:hAnsi="宋体" w:eastAsia="宋体"/>
                <w:b w:val="0"/>
                <w:sz w:val="24"/>
              </w:rPr>
              <w:t>。所有AI生成内容均经过团队成员逐项审查和修改，确保技术准确性和原创性。团队对申报书内容的真实性和学术诚信承担全部责任。</w:t>
            </w:r>
          </w:p>
        </w:tc>
      </w:tr>
      <w:tr w14:paraId="063570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690" w:type="dxa"/>
            <w:gridSpan w:val="3"/>
            <w:shd w:val="clear" w:color="auto" w:fill="auto"/>
            <w:vAlign w:val="center"/>
          </w:tcPr>
          <w:p w14:paraId="79309945">
            <w:pPr>
              <w:spacing w:before="120" w:after="120" w:line="360" w:lineRule="auto"/>
              <w:jc w:val="left"/>
            </w:pPr>
            <w:r>
              <w:rPr>
                <w:rFonts w:ascii="黑体" w:hAnsi="黑体" w:eastAsia="黑体"/>
                <w:b/>
                <w:sz w:val="28"/>
              </w:rPr>
              <w:t>七、呈现形式与附件</w:t>
            </w:r>
          </w:p>
        </w:tc>
      </w:tr>
      <w:tr w14:paraId="6CB99B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690" w:type="dxa"/>
            <w:gridSpan w:val="3"/>
            <w:shd w:val="clear" w:color="auto" w:fill="auto"/>
            <w:vAlign w:val="center"/>
          </w:tcPr>
          <w:p w14:paraId="02FD6503">
            <w:pPr>
              <w:spacing w:after="60" w:line="360" w:lineRule="auto"/>
              <w:ind w:firstLine="480"/>
              <w:jc w:val="both"/>
            </w:pPr>
            <w:r>
              <w:rPr>
                <w:rFonts w:ascii="Times New Roman" w:hAnsi="Times New Roman" w:eastAsia="宋体" w:cs="Times New Roman"/>
                <w:sz w:val="24"/>
                <w:szCs w:val="24"/>
              </w:rPr>
              <w:t>本项目的呈现形式与附件清单如下：</w:t>
            </w:r>
          </w:p>
          <w:p w14:paraId="59FADE0B">
            <w:pPr>
              <w:spacing w:after="60" w:line="360" w:lineRule="auto"/>
              <w:ind w:firstLine="480"/>
              <w:jc w:val="both"/>
            </w:pPr>
            <w:r>
              <w:rPr>
                <w:rFonts w:ascii="Times New Roman" w:hAnsi="Times New Roman" w:eastAsia="宋体" w:cs="Times New Roman"/>
                <w:sz w:val="24"/>
                <w:szCs w:val="24"/>
              </w:rPr>
              <w:t>（1）申报书正文；</w:t>
            </w:r>
          </w:p>
          <w:p w14:paraId="778EB625">
            <w:pPr>
              <w:spacing w:after="60" w:line="360" w:lineRule="auto"/>
              <w:ind w:firstLine="480"/>
              <w:jc w:val="both"/>
            </w:pPr>
            <w:r>
              <w:rPr>
                <w:rFonts w:ascii="Times New Roman" w:hAnsi="Times New Roman" w:eastAsia="宋体" w:cs="Times New Roman"/>
                <w:sz w:val="24"/>
                <w:szCs w:val="24"/>
              </w:rPr>
              <w:t>（2）模块一技术报告：两阶段解耦负荷预测技术报告；</w:t>
            </w:r>
          </w:p>
          <w:p w14:paraId="63BD71B6">
            <w:pPr>
              <w:spacing w:after="60" w:line="360" w:lineRule="auto"/>
              <w:ind w:firstLine="480"/>
              <w:jc w:val="both"/>
            </w:pPr>
            <w:r>
              <w:rPr>
                <w:rFonts w:ascii="Times New Roman" w:hAnsi="Times New Roman" w:eastAsia="宋体" w:cs="Times New Roman"/>
                <w:sz w:val="24"/>
                <w:szCs w:val="24"/>
              </w:rPr>
              <w:t>（3）模块二技术报告：linprog线性规划优化调度技术报告；</w:t>
            </w:r>
          </w:p>
          <w:p w14:paraId="021D16DE">
            <w:pPr>
              <w:spacing w:after="60" w:line="360" w:lineRule="auto"/>
              <w:ind w:firstLine="480"/>
              <w:jc w:val="both"/>
            </w:pPr>
            <w:r>
              <w:rPr>
                <w:rFonts w:ascii="Times New Roman" w:hAnsi="Times New Roman" w:eastAsia="宋体" w:cs="Times New Roman"/>
                <w:sz w:val="24"/>
                <w:szCs w:val="24"/>
              </w:rPr>
              <w:t>（4）模块三技术报告：三账碳核算与LCA全生命周期评价技术报告；</w:t>
            </w:r>
          </w:p>
          <w:p w14:paraId="72707E81">
            <w:pPr>
              <w:spacing w:after="60" w:line="360" w:lineRule="auto"/>
              <w:ind w:firstLine="480"/>
              <w:jc w:val="both"/>
              <w:rPr>
                <w:rFonts w:ascii="Times New Roman" w:hAnsi="Times New Roman" w:eastAsia="宋体" w:cs="Times New Roman"/>
                <w:sz w:val="24"/>
                <w:szCs w:val="24"/>
              </w:rPr>
            </w:pPr>
            <w:r>
              <w:rPr>
                <w:rFonts w:ascii="Times New Roman" w:hAnsi="Times New Roman" w:eastAsia="宋体" w:cs="Times New Roman"/>
                <w:sz w:val="24"/>
                <w:szCs w:val="24"/>
              </w:rPr>
              <w:t>（5）系统演示视频；</w:t>
            </w:r>
          </w:p>
          <w:p w14:paraId="0E5C87C9">
            <w:pPr>
              <w:spacing w:after="60" w:line="360" w:lineRule="auto"/>
              <w:ind w:firstLine="480"/>
              <w:jc w:val="both"/>
              <w:rPr>
                <w:rFonts w:hint="eastAsia" w:ascii="Times New Roman" w:hAnsi="Times New Roman" w:eastAsia="宋体" w:cs="Times New Roman"/>
                <w:sz w:val="24"/>
                <w:szCs w:val="24"/>
                <w:lang w:eastAsia="zh-CN"/>
              </w:rPr>
            </w:pP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6</w:t>
            </w:r>
            <w:r>
              <w:rPr>
                <w:rFonts w:hint="eastAsia" w:ascii="Times New Roman" w:hAnsi="Times New Roman" w:cs="Times New Roman"/>
                <w:sz w:val="24"/>
                <w:szCs w:val="24"/>
                <w:lang w:eastAsia="zh-CN"/>
              </w:rPr>
              <w:t>）</w:t>
            </w:r>
            <w:r>
              <w:rPr>
                <w:rFonts w:ascii="宋体" w:hAnsi="宋体" w:eastAsia="宋体"/>
                <w:b w:val="0"/>
                <w:sz w:val="24"/>
              </w:rPr>
              <w:t>相关标准与政策文件索引</w:t>
            </w:r>
          </w:p>
          <w:p w14:paraId="7E22CBD8">
            <w:pPr>
              <w:spacing w:after="60" w:line="360" w:lineRule="auto"/>
              <w:ind w:firstLine="480"/>
              <w:jc w:val="both"/>
              <w:rPr>
                <w:rFonts w:hint="eastAsia" w:ascii="Times New Roman" w:hAnsi="Times New Roman" w:eastAsia="宋体" w:cs="Times New Roman"/>
                <w:sz w:val="24"/>
                <w:szCs w:val="24"/>
                <w:lang w:eastAsia="zh-CN"/>
              </w:rPr>
            </w:pPr>
            <w:r>
              <w:rPr>
                <w:rFonts w:hint="eastAsia" w:ascii="Times New Roman" w:hAnsi="Times New Roman" w:cs="Times New Roman"/>
                <w:sz w:val="24"/>
                <w:szCs w:val="24"/>
                <w:lang w:eastAsia="zh-CN"/>
              </w:rPr>
              <w:t>（7）可交互网页应用与数字大屏演示</w:t>
            </w:r>
          </w:p>
          <w:p w14:paraId="72B5A136">
            <w:pPr>
              <w:spacing w:before="120" w:after="40" w:line="360" w:lineRule="auto"/>
              <w:ind w:firstLine="480"/>
            </w:pPr>
            <w:r>
              <w:rPr>
                <w:rFonts w:ascii="黑体" w:hAnsi="黑体" w:eastAsia="黑体"/>
                <w:b/>
                <w:sz w:val="24"/>
              </w:rPr>
              <w:t>团队分工</w:t>
            </w:r>
          </w:p>
          <w:p w14:paraId="7446DFD7">
            <w:pPr>
              <w:spacing w:before="20" w:after="20" w:line="360" w:lineRule="auto"/>
              <w:ind w:firstLine="480"/>
            </w:pPr>
            <w:r>
              <w:rPr>
                <w:rFonts w:ascii="宋体" w:hAnsi="宋体" w:eastAsia="宋体"/>
                <w:b w:val="0"/>
                <w:sz w:val="24"/>
              </w:rPr>
              <w:t>团队成员来自</w:t>
            </w:r>
            <w:r>
              <w:rPr>
                <w:rFonts w:hint="eastAsia"/>
                <w:b w:val="0"/>
                <w:sz w:val="24"/>
                <w:lang w:val="en-US" w:eastAsia="zh-CN"/>
              </w:rPr>
              <w:t>电气工程学院、水利水电学院、计算机科学与工程学院和自动化与信息工程学院计算机四</w:t>
            </w:r>
            <w:r>
              <w:rPr>
                <w:rFonts w:ascii="宋体" w:hAnsi="宋体" w:eastAsia="宋体"/>
                <w:b w:val="0"/>
                <w:sz w:val="24"/>
              </w:rPr>
              <w:t>个学科方向，形成跨学科协同创新团队。</w:t>
            </w:r>
            <w:r>
              <w:rPr>
                <w:rFonts w:hint="eastAsia"/>
                <w:b w:val="0"/>
                <w:sz w:val="24"/>
                <w:lang w:val="en-US" w:eastAsia="zh-CN"/>
              </w:rPr>
              <w:t>水利水电工程专业同学负责模块一污水处理厂负荷预测的算法模型搭建和数字大屏制作；储能科学与工程专业的同学</w:t>
            </w:r>
            <w:r>
              <w:rPr>
                <w:rFonts w:ascii="宋体" w:hAnsi="宋体" w:eastAsia="宋体"/>
                <w:b w:val="0"/>
                <w:sz w:val="24"/>
              </w:rPr>
              <w:t>负责</w:t>
            </w:r>
            <w:r>
              <w:rPr>
                <w:rFonts w:hint="eastAsia"/>
                <w:b w:val="0"/>
                <w:sz w:val="24"/>
                <w:lang w:val="en-US" w:eastAsia="zh-CN"/>
              </w:rPr>
              <w:t>模块二</w:t>
            </w:r>
            <w:r>
              <w:rPr>
                <w:rFonts w:ascii="宋体" w:hAnsi="宋体" w:eastAsia="宋体"/>
                <w:b w:val="0"/>
                <w:sz w:val="24"/>
              </w:rPr>
              <w:t>储能优化调度模型和经济性分析；</w:t>
            </w:r>
            <w:r>
              <w:rPr>
                <w:rFonts w:hint="eastAsia"/>
                <w:b w:val="0"/>
                <w:sz w:val="24"/>
                <w:lang w:val="en-US" w:eastAsia="zh-CN"/>
              </w:rPr>
              <w:t>计算机科学与技术同学负责模块三碳核算相关算法确定与水工同学一起完善模型与大屏；最后两个同学完成介绍视频制作与相关数据资料整理。</w:t>
            </w:r>
          </w:p>
        </w:tc>
      </w:tr>
      <w:tr w14:paraId="0E892C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690" w:type="dxa"/>
            <w:gridSpan w:val="3"/>
            <w:shd w:val="clear" w:color="auto" w:fill="auto"/>
            <w:vAlign w:val="center"/>
          </w:tcPr>
          <w:p w14:paraId="6D452D00">
            <w:pPr>
              <w:spacing w:before="120" w:after="120" w:line="360" w:lineRule="auto"/>
              <w:jc w:val="left"/>
            </w:pPr>
            <w:r>
              <w:rPr>
                <w:rFonts w:ascii="黑体" w:hAnsi="黑体" w:eastAsia="黑体"/>
                <w:b/>
                <w:sz w:val="28"/>
              </w:rPr>
              <w:t>参考文献</w:t>
            </w:r>
          </w:p>
        </w:tc>
      </w:tr>
      <w:tr w14:paraId="701F18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690" w:type="dxa"/>
            <w:gridSpan w:val="3"/>
            <w:shd w:val="clear" w:color="auto" w:fill="auto"/>
            <w:vAlign w:val="center"/>
          </w:tcPr>
          <w:p w14:paraId="1A92668E">
            <w:pPr>
              <w:numPr>
                <w:ilvl w:val="0"/>
                <w:numId w:val="0"/>
              </w:numPr>
              <w:spacing w:before="0" w:after="20" w:line="360" w:lineRule="auto"/>
              <w:rPr>
                <w:rFonts w:hint="default" w:ascii="宋体" w:hAnsi="宋体" w:eastAsia="宋体"/>
                <w:sz w:val="21"/>
              </w:rPr>
            </w:pPr>
            <w:r>
              <w:rPr>
                <w:rFonts w:hint="eastAsia"/>
                <w:sz w:val="21"/>
                <w:lang w:val="en-US" w:eastAsia="zh-CN"/>
              </w:rPr>
              <w:t>[1]</w:t>
            </w:r>
            <w:r>
              <w:rPr>
                <w:rFonts w:hint="default" w:ascii="宋体" w:hAnsi="宋体" w:eastAsia="宋体"/>
                <w:sz w:val="21"/>
              </w:rPr>
              <w:t>欧阳伊雯, 庞海涛, 叶红丽, 等. 重庆市城镇污水处理系统的碳排放特征及减污降碳措施建议[J]. 环境工程学报, 2023, 17(9): 2841-2847.</w:t>
            </w:r>
          </w:p>
          <w:p w14:paraId="3F8532CA">
            <w:pPr>
              <w:numPr>
                <w:ilvl w:val="0"/>
                <w:numId w:val="0"/>
              </w:numPr>
              <w:spacing w:before="0" w:after="20" w:line="360" w:lineRule="auto"/>
              <w:rPr>
                <w:rFonts w:hint="default" w:ascii="宋体" w:hAnsi="宋体" w:eastAsia="宋体"/>
                <w:sz w:val="21"/>
              </w:rPr>
            </w:pPr>
            <w:r>
              <w:rPr>
                <w:rFonts w:hint="default" w:ascii="宋体" w:hAnsi="宋体" w:eastAsia="宋体"/>
                <w:sz w:val="21"/>
              </w:rPr>
              <w:t>[</w:t>
            </w:r>
            <w:r>
              <w:rPr>
                <w:rFonts w:hint="eastAsia"/>
                <w:sz w:val="21"/>
                <w:lang w:val="en-US" w:eastAsia="zh-CN"/>
              </w:rPr>
              <w:t>2</w:t>
            </w:r>
            <w:r>
              <w:rPr>
                <w:rFonts w:hint="default" w:ascii="宋体" w:hAnsi="宋体" w:eastAsia="宋体"/>
                <w:sz w:val="21"/>
              </w:rPr>
              <w:t>] 住房和城乡建设部. 中国城乡建设统计年鉴[M]. 北京: 中国统计出版社, 2024.</w:t>
            </w:r>
          </w:p>
          <w:p w14:paraId="7745F0C0">
            <w:pPr>
              <w:spacing w:before="0" w:after="20" w:line="360" w:lineRule="auto"/>
              <w:rPr>
                <w:rFonts w:ascii="宋体" w:hAnsi="宋体" w:eastAsia="宋体"/>
                <w:sz w:val="21"/>
              </w:rPr>
            </w:pPr>
            <w:r>
              <w:rPr>
                <w:rFonts w:ascii="宋体" w:hAnsi="宋体" w:eastAsia="宋体"/>
                <w:sz w:val="21"/>
              </w:rPr>
              <w:t>[</w:t>
            </w:r>
            <w:r>
              <w:rPr>
                <w:rFonts w:hint="eastAsia"/>
                <w:sz w:val="21"/>
                <w:lang w:val="en-US" w:eastAsia="zh-CN"/>
              </w:rPr>
              <w:t>3</w:t>
            </w:r>
            <w:r>
              <w:rPr>
                <w:rFonts w:ascii="宋体" w:hAnsi="宋体" w:eastAsia="宋体"/>
                <w:sz w:val="21"/>
              </w:rPr>
              <w:t>] 国家发展改革委, 住房和城乡建设部. “十四五”城镇污水处理及资源化利用发展规划[Z]. 2021.</w:t>
            </w:r>
          </w:p>
          <w:p w14:paraId="13E0A5DD">
            <w:pPr>
              <w:spacing w:before="0" w:after="20" w:line="360" w:lineRule="auto"/>
              <w:rPr>
                <w:rFonts w:ascii="宋体" w:hAnsi="宋体" w:eastAsia="宋体"/>
                <w:sz w:val="21"/>
              </w:rPr>
            </w:pPr>
            <w:r>
              <w:rPr>
                <w:rFonts w:ascii="宋体" w:hAnsi="宋体" w:eastAsia="宋体"/>
                <w:sz w:val="21"/>
              </w:rPr>
              <w:t>[</w:t>
            </w:r>
            <w:r>
              <w:rPr>
                <w:rFonts w:hint="eastAsia"/>
                <w:sz w:val="21"/>
                <w:lang w:val="en-US" w:eastAsia="zh-CN"/>
              </w:rPr>
              <w:t>4</w:t>
            </w:r>
            <w:r>
              <w:rPr>
                <w:rFonts w:ascii="宋体" w:hAnsi="宋体" w:eastAsia="宋体"/>
                <w:sz w:val="21"/>
              </w:rPr>
              <w:t>] 生态环境部, 等. 减污降碳协同增效实施方案[Z]. 2023.</w:t>
            </w:r>
          </w:p>
          <w:p w14:paraId="1DF593AA">
            <w:pPr>
              <w:numPr>
                <w:ilvl w:val="0"/>
                <w:numId w:val="0"/>
              </w:numPr>
              <w:spacing w:before="0" w:after="20" w:line="360" w:lineRule="auto"/>
              <w:rPr>
                <w:rFonts w:ascii="宋体" w:hAnsi="宋体" w:eastAsia="宋体"/>
                <w:sz w:val="21"/>
              </w:rPr>
            </w:pPr>
            <w:r>
              <w:rPr>
                <w:rFonts w:hint="eastAsia"/>
                <w:sz w:val="21"/>
                <w:lang w:val="en-US" w:eastAsia="zh-CN"/>
              </w:rPr>
              <w:t>[5]</w:t>
            </w:r>
            <w:r>
              <w:rPr>
                <w:rFonts w:ascii="宋体" w:hAnsi="宋体" w:eastAsia="宋体"/>
                <w:sz w:val="21"/>
              </w:rPr>
              <w:t>魏一鸣, 康佳宁, 余碧莹, 等. 碳中和背景下储能系统优化调度研究进展[J]. 电力系统自动化, 2023, 47(8): 2-15.</w:t>
            </w:r>
          </w:p>
          <w:p w14:paraId="1F6C2FC8">
            <w:pPr>
              <w:spacing w:before="0" w:after="20" w:line="360" w:lineRule="auto"/>
              <w:rPr>
                <w:rFonts w:ascii="宋体" w:hAnsi="宋体" w:eastAsia="宋体"/>
                <w:sz w:val="21"/>
              </w:rPr>
            </w:pPr>
            <w:r>
              <w:rPr>
                <w:rFonts w:ascii="宋体" w:hAnsi="宋体" w:eastAsia="宋体"/>
                <w:sz w:val="21"/>
              </w:rPr>
              <w:t>[</w:t>
            </w:r>
            <w:r>
              <w:rPr>
                <w:rFonts w:hint="eastAsia"/>
                <w:sz w:val="21"/>
                <w:lang w:val="en-US" w:eastAsia="zh-CN"/>
              </w:rPr>
              <w:t>6</w:t>
            </w:r>
            <w:r>
              <w:rPr>
                <w:rFonts w:ascii="宋体" w:hAnsi="宋体" w:eastAsia="宋体"/>
                <w:sz w:val="21"/>
              </w:rPr>
              <w:t>] 生态环境部, 国家统计局. 关于发布2023年电力二氧化碳排放因子的公告（公告2025年第47号）[Z]. 2025.</w:t>
            </w:r>
          </w:p>
          <w:p w14:paraId="4E737038">
            <w:pPr>
              <w:spacing w:before="0" w:after="20" w:line="360" w:lineRule="auto"/>
              <w:rPr>
                <w:rFonts w:ascii="宋体" w:hAnsi="宋体" w:eastAsia="宋体"/>
                <w:sz w:val="21"/>
              </w:rPr>
            </w:pPr>
            <w:r>
              <w:rPr>
                <w:rFonts w:ascii="宋体" w:hAnsi="宋体" w:eastAsia="宋体"/>
                <w:sz w:val="21"/>
              </w:rPr>
              <w:t>[</w:t>
            </w:r>
            <w:r>
              <w:rPr>
                <w:rFonts w:hint="eastAsia"/>
                <w:sz w:val="21"/>
                <w:lang w:val="en-US" w:eastAsia="zh-CN"/>
              </w:rPr>
              <w:t>7</w:t>
            </w:r>
            <w:r>
              <w:rPr>
                <w:rFonts w:ascii="宋体" w:hAnsi="宋体" w:eastAsia="宋体"/>
                <w:sz w:val="21"/>
              </w:rPr>
              <w:t>] Jha R, Lee S, Iyengar S, et al. Emission-aware Energy Storage Scheduling for a Greener Grid[J]. arXiv:2005.12234, 2020.</w:t>
            </w:r>
          </w:p>
          <w:p w14:paraId="5DDBA956">
            <w:pPr>
              <w:spacing w:before="0" w:after="20" w:line="360" w:lineRule="auto"/>
              <w:rPr>
                <w:rFonts w:ascii="宋体" w:hAnsi="宋体" w:eastAsia="宋体"/>
                <w:sz w:val="21"/>
              </w:rPr>
            </w:pPr>
            <w:r>
              <w:rPr>
                <w:rFonts w:ascii="宋体" w:hAnsi="宋体" w:eastAsia="宋体"/>
                <w:sz w:val="21"/>
              </w:rPr>
              <w:t>[</w:t>
            </w:r>
            <w:r>
              <w:rPr>
                <w:rFonts w:hint="eastAsia"/>
                <w:sz w:val="21"/>
                <w:lang w:val="en-US" w:eastAsia="zh-CN"/>
              </w:rPr>
              <w:t>8</w:t>
            </w:r>
            <w:r>
              <w:rPr>
                <w:rFonts w:ascii="宋体" w:hAnsi="宋体" w:eastAsia="宋体"/>
                <w:sz w:val="21"/>
              </w:rPr>
              <w:t>] Hyndman R J, Athanasopoulos G. Forecasting: principles and practice[M]. 3rd ed. Melbourne: OTexts, 2021.</w:t>
            </w:r>
          </w:p>
          <w:p w14:paraId="23EE2844">
            <w:pPr>
              <w:spacing w:before="0" w:after="20" w:line="360" w:lineRule="auto"/>
              <w:rPr>
                <w:rFonts w:ascii="宋体" w:hAnsi="宋体" w:eastAsia="宋体"/>
                <w:sz w:val="21"/>
              </w:rPr>
            </w:pPr>
            <w:r>
              <w:rPr>
                <w:rFonts w:ascii="宋体" w:hAnsi="宋体" w:eastAsia="宋体"/>
                <w:sz w:val="21"/>
              </w:rPr>
              <w:t>[</w:t>
            </w:r>
            <w:r>
              <w:rPr>
                <w:rFonts w:hint="eastAsia"/>
                <w:sz w:val="21"/>
                <w:lang w:val="en-US" w:eastAsia="zh-CN"/>
              </w:rPr>
              <w:t>9</w:t>
            </w:r>
            <w:r>
              <w:rPr>
                <w:rFonts w:ascii="宋体" w:hAnsi="宋体" w:eastAsia="宋体"/>
                <w:sz w:val="21"/>
              </w:rPr>
              <w:t>] Hochreiter S, Schmidhuber J. Long short-term memory[J]. Neural Computation, 1997, 9(8): 1735-1780.</w:t>
            </w:r>
          </w:p>
          <w:p w14:paraId="4797912A">
            <w:pPr>
              <w:spacing w:before="0" w:after="20" w:line="360" w:lineRule="auto"/>
              <w:rPr>
                <w:rFonts w:ascii="宋体" w:hAnsi="宋体" w:eastAsia="宋体"/>
                <w:sz w:val="21"/>
              </w:rPr>
            </w:pPr>
            <w:r>
              <w:rPr>
                <w:rFonts w:ascii="宋体" w:hAnsi="宋体" w:eastAsia="宋体"/>
                <w:sz w:val="21"/>
              </w:rPr>
              <w:t>[</w:t>
            </w:r>
            <w:r>
              <w:rPr>
                <w:rFonts w:hint="eastAsia"/>
                <w:sz w:val="21"/>
                <w:lang w:val="en-US" w:eastAsia="zh-CN"/>
              </w:rPr>
              <w:t>10</w:t>
            </w:r>
            <w:r>
              <w:rPr>
                <w:rFonts w:ascii="宋体" w:hAnsi="宋体" w:eastAsia="宋体"/>
                <w:sz w:val="21"/>
              </w:rPr>
              <w:t>] Pelekis S, et al. A comparative assessment of deep learning models for day-ahead load forecasting[J]. arXiv:2302.12168, 2023.</w:t>
            </w:r>
          </w:p>
          <w:p w14:paraId="01DCB13E">
            <w:pPr>
              <w:spacing w:before="0" w:after="20" w:line="360" w:lineRule="auto"/>
              <w:rPr>
                <w:rFonts w:ascii="宋体" w:hAnsi="宋体" w:eastAsia="宋体"/>
                <w:sz w:val="21"/>
              </w:rPr>
            </w:pPr>
            <w:r>
              <w:rPr>
                <w:rFonts w:ascii="宋体" w:hAnsi="宋体" w:eastAsia="宋体"/>
                <w:sz w:val="21"/>
              </w:rPr>
              <w:t>[1</w:t>
            </w:r>
            <w:r>
              <w:rPr>
                <w:rFonts w:hint="eastAsia"/>
                <w:sz w:val="21"/>
                <w:lang w:val="en-US" w:eastAsia="zh-CN"/>
              </w:rPr>
              <w:t>1</w:t>
            </w:r>
            <w:r>
              <w:rPr>
                <w:rFonts w:ascii="宋体" w:hAnsi="宋体" w:eastAsia="宋体"/>
                <w:sz w:val="21"/>
              </w:rPr>
              <w:t>] Vaswani A, Shazeer N, Parmar N, et al. Attention is all you need[C]//NeurIPS. 2017: 5998-6008.</w:t>
            </w:r>
          </w:p>
          <w:p w14:paraId="49F51386">
            <w:pPr>
              <w:spacing w:before="0" w:after="20" w:line="360" w:lineRule="auto"/>
              <w:rPr>
                <w:rFonts w:ascii="宋体" w:hAnsi="宋体" w:eastAsia="宋体"/>
                <w:sz w:val="21"/>
              </w:rPr>
            </w:pPr>
            <w:r>
              <w:rPr>
                <w:rFonts w:ascii="宋体" w:hAnsi="宋体" w:eastAsia="宋体"/>
                <w:sz w:val="21"/>
              </w:rPr>
              <w:t>[1</w:t>
            </w:r>
            <w:r>
              <w:rPr>
                <w:rFonts w:hint="eastAsia"/>
                <w:sz w:val="21"/>
                <w:lang w:val="en-US" w:eastAsia="zh-CN"/>
              </w:rPr>
              <w:t>2</w:t>
            </w:r>
            <w:r>
              <w:rPr>
                <w:rFonts w:ascii="宋体" w:hAnsi="宋体" w:eastAsia="宋体"/>
                <w:sz w:val="21"/>
              </w:rPr>
              <w:t>] Lim B, Arık S Ö, Loeff N, et al. Temporal fusion transformers for interpretable multi-horizon time series forecasting[J]. International Journal of Forecasting, 2021, 37(4): 1748-1764.</w:t>
            </w:r>
          </w:p>
          <w:p w14:paraId="42402F7D">
            <w:pPr>
              <w:spacing w:before="0" w:after="20" w:line="360" w:lineRule="auto"/>
              <w:rPr>
                <w:rFonts w:ascii="宋体" w:hAnsi="宋体" w:eastAsia="宋体"/>
                <w:sz w:val="21"/>
              </w:rPr>
            </w:pPr>
            <w:r>
              <w:rPr>
                <w:rFonts w:ascii="宋体" w:hAnsi="宋体" w:eastAsia="宋体"/>
                <w:sz w:val="21"/>
              </w:rPr>
              <w:t>[1</w:t>
            </w:r>
            <w:r>
              <w:rPr>
                <w:rFonts w:hint="eastAsia"/>
                <w:sz w:val="21"/>
                <w:lang w:val="en-US" w:eastAsia="zh-CN"/>
              </w:rPr>
              <w:t>3</w:t>
            </w:r>
            <w:r>
              <w:rPr>
                <w:rFonts w:ascii="宋体" w:hAnsi="宋体" w:eastAsia="宋体"/>
                <w:sz w:val="21"/>
              </w:rPr>
              <w:t>] Camacho E F, Bordons C. Model predictive control[M]. 2nd ed. London: Springer, 2007.</w:t>
            </w:r>
          </w:p>
          <w:p w14:paraId="313C9CCA">
            <w:pPr>
              <w:spacing w:before="0" w:after="20" w:line="360" w:lineRule="auto"/>
              <w:rPr>
                <w:rFonts w:ascii="宋体" w:hAnsi="宋体" w:eastAsia="宋体"/>
                <w:sz w:val="21"/>
              </w:rPr>
            </w:pPr>
            <w:r>
              <w:rPr>
                <w:rFonts w:ascii="宋体" w:hAnsi="宋体" w:eastAsia="宋体"/>
                <w:sz w:val="21"/>
              </w:rPr>
              <w:t>[</w:t>
            </w:r>
            <w:r>
              <w:rPr>
                <w:rFonts w:hint="eastAsia"/>
                <w:sz w:val="21"/>
                <w:lang w:val="en-US" w:eastAsia="zh-CN"/>
              </w:rPr>
              <w:t>14</w:t>
            </w:r>
            <w:r>
              <w:rPr>
                <w:rFonts w:ascii="宋体" w:hAnsi="宋体" w:eastAsia="宋体"/>
                <w:sz w:val="21"/>
              </w:rPr>
              <w:t>] Kennedy J, Eberhart R. Particle swarm optimization[C]//ICNN'95. IEEE, 1995, 4: 1942-1948.</w:t>
            </w:r>
          </w:p>
          <w:p w14:paraId="16AC06FF">
            <w:pPr>
              <w:spacing w:before="0" w:after="20" w:line="360" w:lineRule="auto"/>
              <w:rPr>
                <w:rFonts w:ascii="宋体" w:hAnsi="宋体" w:eastAsia="宋体"/>
                <w:sz w:val="21"/>
              </w:rPr>
            </w:pPr>
            <w:r>
              <w:rPr>
                <w:rFonts w:ascii="宋体" w:hAnsi="宋体" w:eastAsia="宋体"/>
                <w:sz w:val="21"/>
              </w:rPr>
              <w:t>[</w:t>
            </w:r>
            <w:r>
              <w:rPr>
                <w:rFonts w:hint="eastAsia"/>
                <w:sz w:val="21"/>
                <w:lang w:val="en-US" w:eastAsia="zh-CN"/>
              </w:rPr>
              <w:t>1</w:t>
            </w:r>
            <w:r>
              <w:rPr>
                <w:rFonts w:ascii="宋体" w:hAnsi="宋体" w:eastAsia="宋体"/>
                <w:sz w:val="21"/>
              </w:rPr>
              <w:t>5] 任宇路, 程昱舒, 张雪瑞, 等. 碳交易下含氢储能的综合能源系统运行优化[J]. 电测与仪表, 2025, 62(12): 11-19.</w:t>
            </w:r>
          </w:p>
          <w:p w14:paraId="102CB7B1">
            <w:pPr>
              <w:spacing w:before="0" w:after="20" w:line="360" w:lineRule="auto"/>
              <w:rPr>
                <w:rFonts w:ascii="宋体" w:hAnsi="宋体" w:eastAsia="宋体"/>
                <w:sz w:val="21"/>
              </w:rPr>
            </w:pPr>
            <w:r>
              <w:rPr>
                <w:rFonts w:ascii="宋体" w:hAnsi="宋体" w:eastAsia="宋体"/>
                <w:sz w:val="21"/>
              </w:rPr>
              <w:t>[</w:t>
            </w:r>
            <w:r>
              <w:rPr>
                <w:rFonts w:hint="eastAsia"/>
                <w:sz w:val="21"/>
                <w:lang w:val="en-US" w:eastAsia="zh-CN"/>
              </w:rPr>
              <w:t>16</w:t>
            </w:r>
            <w:r>
              <w:rPr>
                <w:rFonts w:ascii="宋体" w:hAnsi="宋体" w:eastAsia="宋体"/>
                <w:sz w:val="21"/>
              </w:rPr>
              <w:t>] IPCC. 2023 Refinement to the 2006 IPCC Guidelines for National Greenhouse Gas Inventories[S]. IPCC, 2023.</w:t>
            </w:r>
          </w:p>
          <w:p w14:paraId="175BB169">
            <w:pPr>
              <w:spacing w:before="0" w:after="20" w:line="360" w:lineRule="auto"/>
              <w:rPr>
                <w:rFonts w:ascii="宋体" w:hAnsi="宋体" w:eastAsia="宋体"/>
                <w:sz w:val="21"/>
              </w:rPr>
            </w:pPr>
            <w:r>
              <w:rPr>
                <w:rFonts w:ascii="宋体" w:hAnsi="宋体" w:eastAsia="宋体"/>
                <w:sz w:val="21"/>
              </w:rPr>
              <w:t>[17] WRI, WBCSD. The Greenhouse Gas Protocol[S]. Geneva: WBCSD, 2015.</w:t>
            </w:r>
          </w:p>
          <w:p w14:paraId="26DCFB70">
            <w:pPr>
              <w:spacing w:before="0" w:after="20" w:line="360" w:lineRule="auto"/>
              <w:rPr>
                <w:rFonts w:ascii="宋体" w:hAnsi="宋体" w:eastAsia="宋体"/>
                <w:sz w:val="21"/>
              </w:rPr>
            </w:pPr>
            <w:r>
              <w:rPr>
                <w:rFonts w:ascii="宋体" w:hAnsi="宋体" w:eastAsia="宋体"/>
                <w:sz w:val="21"/>
              </w:rPr>
              <w:t>[</w:t>
            </w:r>
            <w:r>
              <w:rPr>
                <w:rFonts w:hint="eastAsia"/>
                <w:sz w:val="21"/>
                <w:lang w:val="en-US" w:eastAsia="zh-CN"/>
              </w:rPr>
              <w:t>18</w:t>
            </w:r>
            <w:r>
              <w:rPr>
                <w:rFonts w:ascii="宋体" w:hAnsi="宋体" w:eastAsia="宋体"/>
                <w:sz w:val="21"/>
              </w:rPr>
              <w:t>] 全国产品几何技术规范标准化技术委员会. GB/T 46725—2025 协同降碳绩效评价 城镇污水处理[S]. 北京: 中国标准出版社, 2025.</w:t>
            </w:r>
          </w:p>
          <w:p w14:paraId="70724DC0">
            <w:pPr>
              <w:spacing w:before="0" w:after="20" w:line="360" w:lineRule="auto"/>
              <w:rPr>
                <w:rFonts w:ascii="宋体" w:hAnsi="宋体" w:eastAsia="宋体"/>
                <w:sz w:val="21"/>
              </w:rPr>
            </w:pPr>
            <w:r>
              <w:rPr>
                <w:rFonts w:ascii="宋体" w:hAnsi="宋体" w:eastAsia="宋体"/>
                <w:sz w:val="21"/>
              </w:rPr>
              <w:t>[</w:t>
            </w:r>
            <w:r>
              <w:rPr>
                <w:rFonts w:hint="eastAsia"/>
                <w:sz w:val="21"/>
                <w:lang w:val="en-US" w:eastAsia="zh-CN"/>
              </w:rPr>
              <w:t>19</w:t>
            </w:r>
            <w:r>
              <w:rPr>
                <w:rFonts w:ascii="宋体" w:hAnsi="宋体" w:eastAsia="宋体"/>
                <w:sz w:val="21"/>
              </w:rPr>
              <w:t>] 中国城镇供水排水协会. T/CRSUD 001-2023 城镇污水处理厂碳排放核算标准[S]. 北京, 2023.</w:t>
            </w:r>
          </w:p>
          <w:p w14:paraId="09304265">
            <w:pPr>
              <w:spacing w:before="0" w:after="20" w:line="360" w:lineRule="auto"/>
              <w:rPr>
                <w:rFonts w:ascii="宋体" w:hAnsi="宋体" w:eastAsia="宋体"/>
                <w:sz w:val="21"/>
              </w:rPr>
            </w:pPr>
            <w:r>
              <w:rPr>
                <w:rFonts w:ascii="宋体" w:hAnsi="宋体" w:eastAsia="宋体"/>
                <w:sz w:val="21"/>
              </w:rPr>
              <w:t>[</w:t>
            </w:r>
            <w:r>
              <w:rPr>
                <w:rFonts w:hint="eastAsia"/>
                <w:sz w:val="21"/>
                <w:lang w:val="en-US" w:eastAsia="zh-CN"/>
              </w:rPr>
              <w:t>20</w:t>
            </w:r>
            <w:r>
              <w:rPr>
                <w:rFonts w:ascii="宋体" w:hAnsi="宋体" w:eastAsia="宋体"/>
                <w:sz w:val="21"/>
              </w:rPr>
              <w:t>] 广东省环境科学学会. T/GDES 97—2025 温室气体 产品碳足迹量化方法与要求 城镇污水处理[S]. 广州, 2025.</w:t>
            </w:r>
          </w:p>
          <w:p w14:paraId="07686BE4">
            <w:pPr>
              <w:spacing w:before="0" w:after="20" w:line="360" w:lineRule="auto"/>
              <w:rPr>
                <w:rFonts w:ascii="宋体" w:hAnsi="宋体" w:eastAsia="宋体"/>
                <w:sz w:val="21"/>
              </w:rPr>
            </w:pPr>
            <w:r>
              <w:rPr>
                <w:rFonts w:ascii="宋体" w:hAnsi="宋体" w:eastAsia="宋体"/>
                <w:sz w:val="21"/>
              </w:rPr>
              <w:t>[</w:t>
            </w:r>
            <w:r>
              <w:rPr>
                <w:rFonts w:hint="eastAsia"/>
                <w:sz w:val="21"/>
                <w:lang w:val="en-US" w:eastAsia="zh-CN"/>
              </w:rPr>
              <w:t>21</w:t>
            </w:r>
            <w:r>
              <w:rPr>
                <w:rFonts w:ascii="宋体" w:hAnsi="宋体" w:eastAsia="宋体"/>
                <w:sz w:val="21"/>
              </w:rPr>
              <w:t>] 中国可再生能源学会. REETC/TN033:2026 集中式储能系统产品碳足迹核算指南[S]. 北京, 2026.</w:t>
            </w:r>
          </w:p>
          <w:p w14:paraId="200017A0">
            <w:pPr>
              <w:spacing w:before="0" w:after="20" w:line="360" w:lineRule="auto"/>
              <w:rPr>
                <w:rFonts w:ascii="宋体" w:hAnsi="宋体" w:eastAsia="宋体"/>
                <w:sz w:val="21"/>
              </w:rPr>
            </w:pPr>
            <w:r>
              <w:rPr>
                <w:rFonts w:ascii="宋体" w:hAnsi="宋体" w:eastAsia="宋体"/>
                <w:sz w:val="21"/>
              </w:rPr>
              <w:t>[</w:t>
            </w:r>
            <w:r>
              <w:rPr>
                <w:rFonts w:hint="eastAsia"/>
                <w:sz w:val="21"/>
                <w:lang w:val="en-US" w:eastAsia="zh-CN"/>
              </w:rPr>
              <w:t>22</w:t>
            </w:r>
            <w:r>
              <w:rPr>
                <w:rFonts w:ascii="宋体" w:hAnsi="宋体" w:eastAsia="宋体"/>
                <w:sz w:val="21"/>
              </w:rPr>
              <w:t>] 广东省环保产业协会. T/GDAEPI 49—2025 城镇污水处理厂温室气体直接排放监测与因子测算导则[S]. 广州, 2025.</w:t>
            </w:r>
          </w:p>
          <w:p w14:paraId="0D98CBC4">
            <w:pPr>
              <w:spacing w:before="0" w:after="20" w:line="360" w:lineRule="auto"/>
              <w:rPr>
                <w:rFonts w:ascii="宋体" w:hAnsi="宋体" w:eastAsia="宋体"/>
                <w:sz w:val="21"/>
              </w:rPr>
            </w:pPr>
            <w:r>
              <w:rPr>
                <w:rFonts w:ascii="宋体" w:hAnsi="宋体" w:eastAsia="宋体"/>
                <w:sz w:val="21"/>
              </w:rPr>
              <w:t>[2</w:t>
            </w:r>
            <w:r>
              <w:rPr>
                <w:rFonts w:hint="eastAsia"/>
                <w:sz w:val="21"/>
                <w:lang w:val="en-US" w:eastAsia="zh-CN"/>
              </w:rPr>
              <w:t>3</w:t>
            </w:r>
            <w:r>
              <w:rPr>
                <w:rFonts w:ascii="宋体" w:hAnsi="宋体" w:eastAsia="宋体"/>
                <w:sz w:val="21"/>
              </w:rPr>
              <w:t>] 南京昊福淇电气设备有限公司. CN121813468A: 污水处理厂分布式光伏发电-储能协同供电系统及控制方法[P]. 2026-04-07.</w:t>
            </w:r>
          </w:p>
          <w:p w14:paraId="1A09384C">
            <w:pPr>
              <w:spacing w:before="0" w:after="20" w:line="360" w:lineRule="auto"/>
            </w:pPr>
            <w:r>
              <w:rPr>
                <w:rFonts w:ascii="宋体" w:hAnsi="宋体" w:eastAsia="宋体"/>
                <w:sz w:val="21"/>
              </w:rPr>
              <w:t>[2</w:t>
            </w:r>
            <w:r>
              <w:rPr>
                <w:rFonts w:hint="eastAsia"/>
                <w:sz w:val="21"/>
                <w:lang w:val="en-US" w:eastAsia="zh-CN"/>
              </w:rPr>
              <w:t>4</w:t>
            </w:r>
            <w:r>
              <w:rPr>
                <w:rFonts w:ascii="宋体" w:hAnsi="宋体" w:eastAsia="宋体"/>
                <w:sz w:val="21"/>
              </w:rPr>
              <w:t>] 光伏并网供电在中小型污站节能运行中的应用[J]. 机电信息, 2025(19).</w:t>
            </w:r>
          </w:p>
        </w:tc>
      </w:tr>
    </w:tbl>
    <w:p w14:paraId="13B001CF"/>
    <w:sectPr>
      <w:pgSz w:w="12240" w:h="15840"/>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15C5ED"/>
    <w:multiLevelType w:val="singleLevel"/>
    <w:tmpl w:val="8415C5ED"/>
    <w:lvl w:ilvl="0" w:tentative="0">
      <w:start w:val="3"/>
      <w:numFmt w:val="chineseCounting"/>
      <w:suff w:val="nothing"/>
      <w:lvlText w:val="%1、"/>
      <w:lvlJc w:val="left"/>
      <w:rPr>
        <w:rFonts w:hint="eastAsia"/>
      </w:rPr>
    </w:lvl>
  </w:abstractNum>
  <w:abstractNum w:abstractNumId="1">
    <w:nsid w:val="9B3BD60A"/>
    <w:multiLevelType w:val="singleLevel"/>
    <w:tmpl w:val="9B3BD60A"/>
    <w:lvl w:ilvl="0" w:tentative="0">
      <w:start w:val="1"/>
      <w:numFmt w:val="decimal"/>
      <w:suff w:val="nothing"/>
      <w:lvlText w:val="（%1）"/>
      <w:lvlJc w:val="left"/>
    </w:lvl>
  </w:abstractNum>
  <w:abstractNum w:abstractNumId="2">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8">
    <w:nsid w:val="29259E47"/>
    <w:multiLevelType w:val="singleLevel"/>
    <w:tmpl w:val="29259E47"/>
    <w:lvl w:ilvl="0" w:tentative="0">
      <w:start w:val="1"/>
      <w:numFmt w:val="decimal"/>
      <w:suff w:val="nothing"/>
      <w:lvlText w:val="（%1）"/>
      <w:lvlJc w:val="left"/>
    </w:lvl>
  </w:abstractNum>
  <w:abstractNum w:abstractNumId="9">
    <w:nsid w:val="3B5E682D"/>
    <w:multiLevelType w:val="singleLevel"/>
    <w:tmpl w:val="3B5E682D"/>
    <w:lvl w:ilvl="0" w:tentative="0">
      <w:start w:val="2"/>
      <w:numFmt w:val="chineseCounting"/>
      <w:suff w:val="nothing"/>
      <w:lvlText w:val="%1、"/>
      <w:lvlJc w:val="left"/>
      <w:rPr>
        <w:rFonts w:hint="eastAsia"/>
      </w:rPr>
    </w:lvl>
  </w:abstractNum>
  <w:num w:numId="1">
    <w:abstractNumId w:val="3"/>
  </w:num>
  <w:num w:numId="2">
    <w:abstractNumId w:val="6"/>
  </w:num>
  <w:num w:numId="3">
    <w:abstractNumId w:val="7"/>
  </w:num>
  <w:num w:numId="4">
    <w:abstractNumId w:val="4"/>
  </w:num>
  <w:num w:numId="5">
    <w:abstractNumId w:val="2"/>
  </w:num>
  <w:num w:numId="6">
    <w:abstractNumId w:val="5"/>
  </w:num>
  <w:num w:numId="7">
    <w:abstractNumId w:val="9"/>
  </w:num>
  <w:num w:numId="8">
    <w:abstractNumId w:val="0"/>
  </w:num>
  <w:num w:numId="9">
    <w:abstractNumId w:val="1"/>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115E6A"/>
    <w:rsid w:val="04CB0067"/>
    <w:rsid w:val="0CB11F5E"/>
    <w:rsid w:val="0E5A44C6"/>
    <w:rsid w:val="11EE117E"/>
    <w:rsid w:val="12E37153"/>
    <w:rsid w:val="138209B0"/>
    <w:rsid w:val="16C44AE8"/>
    <w:rsid w:val="17CC1A18"/>
    <w:rsid w:val="19A36FD9"/>
    <w:rsid w:val="1C8E3164"/>
    <w:rsid w:val="1FBD38BD"/>
    <w:rsid w:val="229F4E2E"/>
    <w:rsid w:val="235D4796"/>
    <w:rsid w:val="258C79B5"/>
    <w:rsid w:val="2C0525C8"/>
    <w:rsid w:val="2D2E5D61"/>
    <w:rsid w:val="2EDD5759"/>
    <w:rsid w:val="32D373F3"/>
    <w:rsid w:val="33CF45A9"/>
    <w:rsid w:val="33D041D7"/>
    <w:rsid w:val="35A0487A"/>
    <w:rsid w:val="3AA07E68"/>
    <w:rsid w:val="3BD60456"/>
    <w:rsid w:val="3BE81A11"/>
    <w:rsid w:val="42375347"/>
    <w:rsid w:val="431D2A0C"/>
    <w:rsid w:val="44393555"/>
    <w:rsid w:val="45E644CF"/>
    <w:rsid w:val="463634A4"/>
    <w:rsid w:val="47947ED7"/>
    <w:rsid w:val="4A8835F7"/>
    <w:rsid w:val="4ACC7988"/>
    <w:rsid w:val="4C684E2F"/>
    <w:rsid w:val="4D3B1641"/>
    <w:rsid w:val="4DE9237B"/>
    <w:rsid w:val="4E3E0B8D"/>
    <w:rsid w:val="4F0F0062"/>
    <w:rsid w:val="4FB37D79"/>
    <w:rsid w:val="50FB1C1F"/>
    <w:rsid w:val="54F93B76"/>
    <w:rsid w:val="5A864B12"/>
    <w:rsid w:val="5ED70E9F"/>
    <w:rsid w:val="5EFB1895"/>
    <w:rsid w:val="63D464D8"/>
    <w:rsid w:val="659479D0"/>
    <w:rsid w:val="67C33BC0"/>
    <w:rsid w:val="68A24B82"/>
    <w:rsid w:val="6DD93996"/>
    <w:rsid w:val="6E0950DD"/>
    <w:rsid w:val="71A65C9F"/>
    <w:rsid w:val="74FC464D"/>
    <w:rsid w:val="767B4C71"/>
    <w:rsid w:val="78F86E62"/>
    <w:rsid w:val="796D0E1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0" w:line="360" w:lineRule="auto"/>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Ascii" w:hAnsiTheme="majorAscii" w:eastAsiaTheme="majorEastAsia" w:cstheme="majorBidi"/>
      <w:b/>
      <w:bCs/>
      <w:color w:val="000000" w:themeColor="text1"/>
      <w:sz w:val="26"/>
      <w:szCs w:val="26"/>
      <w14:textFill>
        <w14:solidFill>
          <w14:schemeClr w14:val="tx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Ascii" w:hAnsiTheme="majorAscii" w:eastAsiaTheme="majorEastAsia" w:cstheme="majorBidi"/>
      <w:b/>
      <w:bCs/>
      <w:color w:val="000000" w:themeColor="text1"/>
      <w14:textFill>
        <w14:solidFill>
          <w14:schemeClr w14:val="tx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Ascii" w:hAnsiTheme="majorAscii" w:eastAsiaTheme="majorEastAsia" w:cstheme="majorBidi"/>
      <w:b/>
      <w:bCs/>
      <w:color w:val="000000" w:themeColor="text1"/>
      <w:sz w:val="26"/>
      <w:szCs w:val="26"/>
      <w14:textFill>
        <w14:solidFill>
          <w14:schemeClr w14:val="tx1"/>
        </w14:solidFill>
      </w14:textFill>
    </w:rPr>
  </w:style>
  <w:style w:type="character" w:customStyle="1" w:styleId="140">
    <w:name w:val="Heading 3 Char"/>
    <w:basedOn w:val="132"/>
    <w:link w:val="5"/>
    <w:qFormat/>
    <w:uiPriority w:val="9"/>
    <w:rPr>
      <w:rFonts w:asciiTheme="majorAscii" w:hAnsiTheme="majorAscii" w:eastAsiaTheme="majorEastAsia" w:cstheme="majorBidi"/>
      <w:b/>
      <w:bCs/>
      <w:color w:val="000000" w:themeColor="text1"/>
      <w14:textFill>
        <w14:solidFill>
          <w14:schemeClr w14:val="tx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ntractReview xmlns="http://schemas.wps.cn/vas-ai-hub/contract-review">
  <reviewItems>
    <reviewItem>
      <errorID>2c0247bd-3120-4b34-a9be-a0ccfaa36b32</errorID>
      <errorWord>污水厂</errorWord>
      <group>L1_Word</group>
      <groupName>字词问题</groupName>
      <ability>L2_Typo</ability>
      <abilityName>字词错误</abilityName>
      <candidateList>
        <item>污水处理厂</item>
      </candidateList>
      <explain/>
      <paraID>72C18DD5</paraID>
      <start>5</start>
      <end>10</end>
      <status>modified</status>
      <modifiedWord>污水处理厂</modifiedWord>
      <trackRevisions>false</trackRevisions>
    </reviewItem>
    <reviewItem>
      <errorID>bfad4391-4add-4df2-a445-d99301cd62d4</errorID>
      <errorWord>2%-3%</errorWord>
      <group>L1_Knowledge</group>
      <groupName>知识性问题</groupName>
      <ability>L2_Knowledge</ability>
      <abilityName>其他知识</abilityName>
      <candidateList>
        <item>2%—3%</item>
      </candidateList>
      <explain>1. “2%-3%”中的单位“%”仅出现在后一个数字上，容易引起歧义；根据《现代汉语标点符号数字用法规范手册》，数字表示范围两边需要使用统一的格式。2. 根据标点国标 4.13 中的规则，数字、时间或地域连接符应使用（视觉上更长的）“—”或“～”。</explain>
      <paraID>632EAECE</paraID>
      <start>52</start>
      <end>57</end>
      <status>modified</status>
      <modifiedWord>2%—3%</modifiedWord>
      <trackRevisions>false</trackRevisions>
    </reviewItem>
    <reviewItem>
      <errorID>c8c54160-3255-46b6-a24c-73eb5d4f0d34</errorID>
      <errorWord>亟需</errorWord>
      <group>L1_Word</group>
      <groupName>字词问题</groupName>
      <ability>L2_Typo</ability>
      <abilityName>字词错误</abilityName>
      <candidateList>
        <item>亟须</item>
      </candidateList>
      <explain/>
      <paraID>632EAECE</paraID>
      <start>98</start>
      <end>100</end>
      <status>modified</status>
      <modifiedWord>亟须</modifiedWord>
      <trackRevisions>false</trackRevisions>
    </reviewItem>
    <reviewItem>
      <errorID>49b53422-7093-430c-89ad-d79bdb283408</errorID>
      <errorWord>10%-20%</errorWord>
      <group>L1_Knowledge</group>
      <groupName>知识性问题</groupName>
      <ability>L2_Knowledge</ability>
      <abilityName>其他知识</abilityName>
      <candidateList>
        <item>10%—20%</item>
      </candidateList>
      <explain>1. “10%-20%”中的单位“%”仅出现在后一个数字上，容易引起歧义；根据《现代汉语标点符号数字用法规范手册》，数字表示范围两边需要使用统一的格式。2. 根据标点国标 4.13 中的规则，数字、时间或地域连接符应使用（视觉上更长的）“—”或“～”。</explain>
      <paraID> C8EF00E</paraID>
      <start>43</start>
      <end>50</end>
      <status>modified</status>
      <modifiedWord>10%—20%</modifiedWord>
      <trackRevisions>false</trackRevisions>
    </reviewItem>
    <reviewItem>
      <errorID>0b958f50-32e1-4748-b1bd-0841e7e9880e</errorID>
      <errorWord>10%-15%</errorWord>
      <group>L1_Knowledge</group>
      <groupName>知识性问题</groupName>
      <ability>L2_Knowledge</ability>
      <abilityName>其他知识</abilityName>
      <candidateList>
        <item>10%—15%</item>
      </candidateList>
      <explain>1. “10%-15%”中的单位“%”仅出现在后一个数字上，容易引起歧义；根据《现代汉语标点符号数字用法规范手册》，数字表示范围两边需要使用统一的格式。2. 根据标点国标 4.13 中的规则，数字、时间或地域连接符应使用（视觉上更长的）“—”或“～”。</explain>
      <paraID> C8EF00E</paraID>
      <start>56</start>
      <end>63</end>
      <status>modified</status>
      <modifiedWord>10%—15%</modifiedWord>
      <trackRevisions>false</trackRevisions>
    </reviewItem>
    <reviewItem>
      <errorID>dce248d3-22dd-401e-a448-be7987e6b8de</errorID>
      <errorWord>2%-3%</errorWord>
      <group>L1_Knowledge</group>
      <groupName>知识性问题</groupName>
      <ability>L2_Knowledge</ability>
      <abilityName>其他知识</abilityName>
      <candidateList>
        <item>2%—3%</item>
      </candidateList>
      <explain>1. “2%-3%”中的单位“%”仅出现在后一个数字上，容易引起歧义；根据《现代汉语标点符号数字用法规范手册》，数字表示范围两边需要使用统一的格式。2. 根据标点国标 4.13 中的规则，数字、时间或地域连接符应使用（视觉上更长的）“—”或“～”。</explain>
      <paraID>66E3F43B</paraID>
      <start>70</start>
      <end>75</end>
      <status>modified</status>
      <modifiedWord>2%—3%</modifiedWord>
      <trackRevisions>false</trackRevisions>
    </reviewItem>
    <reviewItem>
      <errorID>b50a46ad-f31d-45ce-8ad8-f7e468219946</errorID>
      <errorWord>排放交易试点</errorWord>
      <group>L1_Word</group>
      <groupName>字词问题</groupName>
      <ability>L2_Typo</ability>
      <abilityName>字词错误</abilityName>
      <candidateList>
        <item>排放权交易试点</item>
      </candidateList>
      <explain/>
      <paraID>5B817196</paraID>
      <start>173</start>
      <end>180</end>
      <status>modified</status>
      <modifiedWord>排放权交易试点</modifiedWord>
      <trackRevisions>false</trackRevisions>
    </reviewItem>
    <reviewItem>
      <errorID>924c7f54-37eb-428e-8dff-a3f0c1399b4d</errorID>
      <errorWord>污水厂</errorWord>
      <group>L1_Word</group>
      <groupName>字词问题</groupName>
      <ability>L2_Typo</ability>
      <abilityName>字词错误</abilityName>
      <candidateList>
        <item>污水处理厂</item>
      </candidateList>
      <explain/>
      <paraID>5B817196</paraID>
      <start>232</start>
      <end>237</end>
      <status>modified</status>
      <modifiedWord>污水处理厂</modifiedWord>
      <trackRevisions>false</trackRevisions>
    </reviewItem>
    <reviewItem>
      <errorID>c70364f9-ad47-4531-b507-3be045fd4330</errorID>
      <errorWord>-</errorWord>
      <group>L1_Format</group>
      <groupName>格式问题</groupName>
      <ability>L2_HalfPunc_CN</ability>
      <abilityName>全半角问题</abilityName>
      <candidateList>
        <item>－</item>
      </candidateList>
      <explain>文本全半角错误。</explain>
      <paraID>750542B3</paraID>
      <start>102</start>
      <end>103</end>
      <status>modified</status>
      <modifiedWord>－</modifiedWord>
      <trackRevisions>false</trackRevisions>
    </reviewItem>
    <reviewItem>
      <errorID>5301fabd-6f69-4be0-bb81-3eb03ad458e3</errorID>
      <errorWord>-</errorWord>
      <group>L1_Format</group>
      <groupName>格式问题</groupName>
      <ability>L2_HalfPunc_CN</ability>
      <abilityName>全半角问题</abilityName>
      <candidateList>
        <item>－</item>
      </candidateList>
      <explain>文本全半角错误。</explain>
      <paraID>750542B3</paraID>
      <start>125</start>
      <end>126</end>
      <status>modified</status>
      <modifiedWord>－</modifiedWord>
      <trackRevisions>false</trackRevisions>
    </reviewItem>
    <reviewItem>
      <errorID>a10d56c8-6a68-4b76-aa4b-6d25feeba27f</errorID>
      <errorWord>污水厂</errorWord>
      <group>L1_Word</group>
      <groupName>字词问题</groupName>
      <ability>L2_Typo</ability>
      <abilityName>字词错误</abilityName>
      <candidateList>
        <item>污水处理厂</item>
      </candidateList>
      <explain/>
      <paraID>750542B3</paraID>
      <start>200</start>
      <end>205</end>
      <status>modified</status>
      <modifiedWord>污水处理厂</modifiedWord>
      <trackRevisions>false</trackRevisions>
    </reviewItem>
    <reviewItem>
      <errorID>5287fa25-7529-4f57-b22e-44b8c069358f</errorID>
      <errorWord>-</errorWord>
      <group>L1_Format</group>
      <groupName>格式问题</groupName>
      <ability>L2_HalfPunc_CN</ability>
      <abilityName>全半角问题</abilityName>
      <candidateList>
        <item>－</item>
      </candidateList>
      <explain>文本全半角错误。</explain>
      <paraID> 92C381D</paraID>
      <start>76</start>
      <end>77</end>
      <status>modified</status>
      <modifiedWord>－</modifiedWord>
      <trackRevisions>false</trackRevisions>
    </reviewItem>
    <reviewItem>
      <errorID>ce9e596d-8337-4859-8a34-74f8ec606509</errorID>
      <errorWord>污水厂</errorWord>
      <group>L1_Word</group>
      <groupName>字词问题</groupName>
      <ability>L2_Typo</ability>
      <abilityName>字词错误</abilityName>
      <candidateList>
        <item>污水处理厂</item>
      </candidateList>
      <explain/>
      <paraID>2D4DD780</paraID>
      <start>217</start>
      <end>222</end>
      <status>modified</status>
      <modifiedWord>污水处理厂</modifiedWord>
      <trackRevisions>false</trackRevisions>
    </reviewItem>
    <reviewItem>
      <errorID>c1d95e4e-a01c-4739-8ab9-d4a228c3da55</errorID>
      <errorWord>-</errorWord>
      <group>L1_Format</group>
      <groupName>格式问题</groupName>
      <ability>L2_HalfPunc_CN</ability>
      <abilityName>全半角问题</abilityName>
      <candidateList>
        <item>－</item>
      </candidateList>
      <explain>文本全半角错误。</explain>
      <paraID>20C36561</paraID>
      <start>36</start>
      <end>37</end>
      <status>modified</status>
      <modifiedWord>－</modifiedWord>
      <trackRevisions>false</trackRevisions>
    </reviewItem>
    <reviewItem>
      <errorID>ff323af2-64c8-4267-b883-ab280aa39a5c</errorID>
      <errorWord>(</errorWord>
      <group>L1_Format</group>
      <groupName>格式问题</groupName>
      <ability>L2_HalfPunc_CN</ability>
      <abilityName>全半角问题</abilityName>
      <candidateList>
        <item>（</item>
      </candidateList>
      <explain>文本全半角错误。</explain>
      <paraID>26D5113B</paraID>
      <start>221</start>
      <end>222</end>
      <status>modified</status>
      <modifiedWord>（</modifiedWord>
      <trackRevisions>false</trackRevisions>
    </reviewItem>
    <reviewItem>
      <errorID>b535795c-381e-431e-8a7d-21c5cde9d4b7</errorID>
      <errorWord>)</errorWord>
      <group>L1_Format</group>
      <groupName>格式问题</groupName>
      <ability>L2_HalfPunc_CN</ability>
      <abilityName>全半角问题</abilityName>
      <candidateList>
        <item>）</item>
      </candidateList>
      <explain>文本全半角错误。</explain>
      <paraID>26D5113B</paraID>
      <start>233</start>
      <end>234</end>
      <status>modified</status>
      <modifiedWord>）</modifiedWord>
      <trackRevisions>false</trackRevisions>
    </reviewItem>
    <reviewItem>
      <errorID>1f6181ec-208d-4495-a581-11bfe4996b38</errorID>
      <errorWord>(</errorWord>
      <group>L1_Format</group>
      <groupName>格式问题</groupName>
      <ability>L2_HalfPunc_CN</ability>
      <abilityName>全半角问题</abilityName>
      <candidateList>
        <item>（</item>
      </candidateList>
      <explain>文本全半角错误。</explain>
      <paraID>26D5113B</paraID>
      <start>326</start>
      <end>327</end>
      <status>modified</status>
      <modifiedWord>（</modifiedWord>
      <trackRevisions>false</trackRevisions>
    </reviewItem>
    <reviewItem>
      <errorID>14b7a5d7-30d3-49fb-b629-758d6c482bea</errorID>
      <errorWord>)</errorWord>
      <group>L1_Format</group>
      <groupName>格式问题</groupName>
      <ability>L2_HalfPunc_CN</ability>
      <abilityName>全半角问题</abilityName>
      <candidateList>
        <item>）</item>
      </candidateList>
      <explain>文本全半角错误。</explain>
      <paraID>26D5113B</paraID>
      <start>332</start>
      <end>333</end>
      <status>modified</status>
      <modifiedWord>）</modifiedWord>
      <trackRevisions>false</trackRevisions>
    </reviewItem>
    <reviewItem>
      <errorID>4e0489cd-b0bf-4862-83c1-50bbc743f98f</errorID>
      <errorWord>(&gt;</errorWord>
      <group>L1_Punc</group>
      <groupName>标点问题</groupName>
      <ability>L2_Punc_CN</ability>
      <abilityName>标点符号问题</abilityName>
      <candidateList>
        <item>(</item>
      </candidateList>
      <explain/>
      <paraID>13C0D154</paraID>
      <start>75</start>
      <end>76</end>
      <status>modified</status>
      <modifiedWord>(</modifiedWord>
      <trackRevisions>false</trackRevisions>
    </reviewItem>
    <reviewItem>
      <errorID>59de4d81-269b-45f1-a5a2-87d2bdd8f36f</errorID>
      <errorWord>(</errorWord>
      <group>L1_Format</group>
      <groupName>格式问题</groupName>
      <ability>L2_HalfPunc_CN</ability>
      <abilityName>全半角问题</abilityName>
      <candidateList>
        <item>（</item>
      </candidateList>
      <explain>文本全半角错误。</explain>
      <paraID>13C0D154</paraID>
      <start>89</start>
      <end>90</end>
      <status>modified</status>
      <modifiedWord>（</modifiedWord>
      <trackRevisions>false</trackRevisions>
    </reviewItem>
    <reviewItem>
      <errorID>e2f58e79-3a0a-4cc5-8806-cb378e4681d7</errorID>
      <errorWord>(&gt;</errorWord>
      <group>L1_Punc</group>
      <groupName>标点问题</groupName>
      <ability>L2_Punc_CN</ability>
      <abilityName>标点符号问题</abilityName>
      <candidateList>
        <item>(</item>
      </candidateList>
      <explain/>
      <paraID>13C0D154</paraID>
      <start>103</start>
      <end>104</end>
      <status>modified</status>
      <modifiedWord>(</modifiedWord>
      <trackRevisions>false</trackRevisions>
    </reviewItem>
    <reviewItem>
      <errorID>c2b6e4de-0f09-40fd-a706-6001b8b0e610</errorID>
      <errorWord>污水厂</errorWord>
      <group>L1_Word</group>
      <groupName>字词问题</groupName>
      <ability>L2_Typo</ability>
      <abilityName>字词错误</abilityName>
      <candidateList>
        <item>污水处理厂</item>
      </candidateList>
      <explain/>
      <paraID>13C0D154</paraID>
      <start>122</start>
      <end>127</end>
      <status>modified</status>
      <modifiedWord>污水处理厂</modifiedWord>
      <trackRevisions>false</trackRevisions>
    </reviewItem>
    <reviewItem>
      <errorID>c5df209c-bf8d-4722-9a46-9feb39a9f1cb</errorID>
      <errorWord>)</errorWord>
      <group>L1_Format</group>
      <groupName>格式问题</groupName>
      <ability>L2_HalfPunc_CN</ability>
      <abilityName>全半角问题</abilityName>
      <candidateList>
        <item>）</item>
      </candidateList>
      <explain>文本全半角错误。</explain>
      <paraID>75678D2B</paraID>
      <start>142</start>
      <end>143</end>
      <status>modified</status>
      <modifiedWord>）</modifiedWord>
      <trackRevisions>false</trackRevisions>
    </reviewItem>
    <reviewItem>
      <errorID>ac38840a-354a-48ed-8058-fe5c48ffe5cf</errorID>
      <errorWord>&gt;</errorWord>
      <group>L1_Format</group>
      <groupName>格式问题</groupName>
      <ability>L2_HalfPunc_CN</ability>
      <abilityName>全半角问题</abilityName>
      <candidateList>
        <item>〉</item>
      </candidateList>
      <explain>文本全半角错误。</explain>
      <paraID>75678D2B</paraID>
      <start>179</start>
      <end>180</end>
      <status>modified</status>
      <modifiedWord>〉</modifiedWord>
      <trackRevisions>false</trackRevisions>
    </reviewItem>
    <reviewItem>
      <errorID>1e652b18-7859-42b5-a677-c70911713da9</errorID>
      <errorWord>-</errorWord>
      <group>L1_Punc</group>
      <groupName>标点问题</groupName>
      <ability>L2_Punc_CN</ability>
      <abilityName>标点符号问题</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75678D2B</paraID>
      <start>187</start>
      <end>188</end>
      <status>modified</status>
      <modifiedWord>—</modifiedWord>
      <trackRevisions>false</trackRevisions>
    </reviewItem>
    <reviewItem>
      <errorID>b64e51ad-28f4-4f0a-99ca-6633d7f2c38b</errorID>
      <errorWord>(</errorWord>
      <group>L1_Format</group>
      <groupName>格式问题</groupName>
      <ability>L2_HalfPunc_CN</ability>
      <abilityName>全半角问题</abilityName>
      <candidateList>
        <item>（</item>
      </candidateList>
      <explain>文本全半角错误。</explain>
      <paraID>3929492A</paraID>
      <start>30</start>
      <end>31</end>
      <status>modified</status>
      <modifiedWord>（</modifiedWord>
      <trackRevisions>false</trackRevisions>
    </reviewItem>
    <reviewItem>
      <errorID>203d49dd-2c34-43e4-a471-295170f66eb7</errorID>
      <errorWord>25)、</errorWord>
      <group>L1_Punc</group>
      <groupName>标点问题</groupName>
      <ability>L2_Punc_CN</ability>
      <abilityName>标点符号问题</abilityName>
      <candidateList>
        <item>25)</item>
      </candidateList>
      <explain>根据国标GB/T 15834-2011《标点符号用法》中的4.5.3.3节，带括号的汉字数字或阿拉伯数字表次序时，后面通常不加顿号。如“（一）指导思想”“（二）行动指南”。</explain>
      <paraID>3929492A</paraID>
      <start>35</start>
      <end>38</end>
      <status>modified</status>
      <modifiedWord>25)</modifiedWord>
      <trackRevisions>false</trackRevisions>
    </reviewItem>
    <reviewItem>
      <errorID>83155b48-e567-4730-8df4-089b3d3088a4</errorID>
      <errorWord>(</errorWord>
      <group>L1_Format</group>
      <groupName>格式问题</groupName>
      <ability>L2_HalfPunc_CN</ability>
      <abilityName>全半角问题</abilityName>
      <candidateList>
        <item>（</item>
      </candidateList>
      <explain>文本全半角错误。</explain>
      <paraID>3929492A</paraID>
      <start>43</start>
      <end>44</end>
      <status>modified</status>
      <modifiedWord>（</modifiedWord>
      <trackRevisions>false</trackRevisions>
    </reviewItem>
    <reviewItem>
      <errorID>40d587b8-e7a6-47bc-bc55-ecf5a0ccdcd1</errorID>
      <errorWord>20)、</errorWord>
      <group>L1_Punc</group>
      <groupName>标点问题</groupName>
      <ability>L2_Punc_CN</ability>
      <abilityName>标点符号问题</abilityName>
      <candidateList>
        <item>20)</item>
      </candidateList>
      <explain>根据国标GB/T 15834-2011《标点符号用法》中的4.5.3.3节，带括号的汉字数字或阿拉伯数字表次序时，后面通常不加顿号。如“（一）指导思想”“（二）行动指南”。</explain>
      <paraID>3929492A</paraID>
      <start>46</start>
      <end>49</end>
      <status>modified</status>
      <modifiedWord>20)</modifiedWord>
      <trackRevisions>false</trackRevisions>
    </reviewItem>
    <reviewItem>
      <errorID>a0e3705b-d7f4-4632-9d44-aab427688886</errorID>
      <errorWord>(</errorWord>
      <group>L1_Format</group>
      <groupName>格式问题</groupName>
      <ability>L2_HalfPunc_CN</ability>
      <abilityName>全半角问题</abilityName>
      <candidateList>
        <item>（</item>
      </candidateList>
      <explain>文本全半角错误。</explain>
      <paraID>3929492A</paraID>
      <start>53</start>
      <end>54</end>
      <status>modified</status>
      <modifiedWord>（</modifiedWord>
      <trackRevisions>false</trackRevisions>
    </reviewItem>
    <reviewItem>
      <errorID>cb817564-3698-4592-b740-b573c77b4da6</errorID>
      <errorWord>18)、</errorWord>
      <group>L1_Punc</group>
      <groupName>标点问题</groupName>
      <ability>L2_Punc_CN</ability>
      <abilityName>标点符号问题</abilityName>
      <candidateList>
        <item>18)</item>
      </candidateList>
      <explain>根据国标GB/T 15834-2011《标点符号用法》中的4.5.3.3节，带括号的汉字数字或阿拉伯数字表次序时，后面通常不加顿号。如“（一）指导思想”“（二）行动指南”。</explain>
      <paraID>3929492A</paraID>
      <start>56</start>
      <end>59</end>
      <status>modified</status>
      <modifiedWord>18)</modifiedWord>
      <trackRevisions>false</trackRevisions>
    </reviewItem>
    <reviewItem>
      <errorID>a5541b36-bd3a-475e-a72c-e633b7241684</errorID>
      <errorWord>(</errorWord>
      <group>L1_Format</group>
      <groupName>格式问题</groupName>
      <ability>L2_HalfPunc_CN</ability>
      <abilityName>全半角问题</abilityName>
      <candidateList>
        <item>（</item>
      </candidateList>
      <explain>文本全半角错误。</explain>
      <paraID>3929492A</paraID>
      <start>63</start>
      <end>64</end>
      <status>modified</status>
      <modifiedWord>（</modifiedWord>
      <trackRevisions>false</trackRevisions>
    </reviewItem>
    <reviewItem>
      <errorID>b62134f3-0f08-4b34-b2d0-4e18eb835ec0</errorID>
      <errorWord>12)、</errorWord>
      <group>L1_Punc</group>
      <groupName>标点问题</groupName>
      <ability>L2_Punc_CN</ability>
      <abilityName>标点符号问题</abilityName>
      <candidateList>
        <item>12)</item>
      </candidateList>
      <explain>根据国标GB/T 15834-2011《标点符号用法》中的4.5.3.3节，带括号的汉字数字或阿拉伯数字表次序时，后面通常不加顿号。如“（一）指导思想”“（二）行动指南”。</explain>
      <paraID>3929492A</paraID>
      <start>66</start>
      <end>69</end>
      <status>modified</status>
      <modifiedWord>12)</modifiedWord>
      <trackRevisions>false</trackRevisions>
    </reviewItem>
    <reviewItem>
      <errorID>7ffd5931-c9b0-4dc1-8590-549586ae4cc9</errorID>
      <errorWord>(</errorWord>
      <group>L1_Format</group>
      <groupName>格式问题</groupName>
      <ability>L2_HalfPunc_CN</ability>
      <abilityName>全半角问题</abilityName>
      <candidateList>
        <item>（</item>
      </candidateList>
      <explain>文本全半角错误。</explain>
      <paraID>3929492A</paraID>
      <start>75</start>
      <end>76</end>
      <status>modified</status>
      <modifiedWord>（</modifiedWord>
      <trackRevisions>false</trackRevisions>
    </reviewItem>
    <reviewItem>
      <errorID>02dfdc00-bef5-4f69-9293-abcba9e0c2c6</errorID>
      <errorWord>10)、</errorWord>
      <group>L1_Punc</group>
      <groupName>标点问题</groupName>
      <ability>L2_Punc_CN</ability>
      <abilityName>标点符号问题</abilityName>
      <candidateList>
        <item>10)</item>
      </candidateList>
      <explain>根据国标GB/T 15834-2011《标点符号用法》中的4.5.3.3节，带括号的汉字数字或阿拉伯数字表次序时，后面通常不加顿号。如“（一）指导思想”“（二）行动指南”。</explain>
      <paraID>3929492A</paraID>
      <start>78</start>
      <end>81</end>
      <status>modified</status>
      <modifiedWord>10)</modifiedWord>
      <trackRevisions>false</trackRevisions>
    </reviewItem>
    <reviewItem>
      <errorID>cdaba62e-7d51-467d-9a16-36eb36094e9a</errorID>
      <errorWord>(</errorWord>
      <group>L1_Format</group>
      <groupName>格式问题</groupName>
      <ability>L2_HalfPunc_CN</ability>
      <abilityName>全半角问题</abilityName>
      <candidateList>
        <item>（</item>
      </candidateList>
      <explain>文本全半角错误。</explain>
      <paraID>3929492A</paraID>
      <start>85</start>
      <end>86</end>
      <status>modified</status>
      <modifiedWord>（</modifiedWord>
      <trackRevisions>false</trackRevisions>
    </reviewItem>
    <reviewItem>
      <errorID>835a1928-4df2-4795-9ba7-bbe579041e1c</errorID>
      <errorWord>)</errorWord>
      <group>L1_Format</group>
      <groupName>格式问题</groupName>
      <ability>L2_HalfPunc_CN</ability>
      <abilityName>全半角问题</abilityName>
      <candidateList>
        <item>）</item>
      </candidateList>
      <explain>文本全半角错误。</explain>
      <paraID>3929492A</paraID>
      <start>90</start>
      <end>91</end>
      <status>modified</status>
      <modifiedWord>）</modifiedWord>
      <trackRevisions>false</trackRevisions>
    </reviewItem>
    <reviewItem>
      <errorID>cd906d42-4f5f-4163-8e13-5d2c50043d19</errorID>
      <errorWord>(</errorWord>
      <group>L1_Format</group>
      <groupName>格式问题</groupName>
      <ability>L2_HalfPunc_CN</ability>
      <abilityName>全半角问题</abilityName>
      <candidateList>
        <item>（</item>
      </candidateList>
      <explain>文本全半角错误。</explain>
      <paraID>3929492A</paraID>
      <start>96</start>
      <end>97</end>
      <status>modified</status>
      <modifiedWord>（</modifiedWord>
      <trackRevisions>false</trackRevisions>
    </reviewItem>
    <reviewItem>
      <errorID>463822c2-bb51-432b-81ce-9205efc90b41</errorID>
      <errorWord>)</errorWord>
      <group>L1_Format</group>
      <groupName>格式问题</groupName>
      <ability>L2_HalfPunc_CN</ability>
      <abilityName>全半角问题</abilityName>
      <candidateList>
        <item>）</item>
      </candidateList>
      <explain>文本全半角错误。</explain>
      <paraID>3929492A</paraID>
      <start>101</start>
      <end>102</end>
      <status>modified</status>
      <modifiedWord>）</modifiedWord>
      <trackRevisions>false</trackRevisions>
    </reviewItem>
    <reviewItem>
      <errorID>529282e1-bcae-49df-8552-13cecc37969c</errorID>
      <errorWord>-</errorWord>
      <group>L1_Punc</group>
      <groupName>标点问题</groupName>
      <ability>L2_Punc_CN</ability>
      <abilityName>标点符号问题</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7D5D1094</paraID>
      <start>34</start>
      <end>35</end>
      <status>modified</status>
      <modifiedWord>—</modifiedWord>
      <trackRevisions>false</trackRevisions>
    </reviewItem>
    <reviewItem>
      <errorID>86d77657-90b7-4c9c-8e96-faac52854b49</errorID>
      <errorWord>污水厂</errorWord>
      <group>L1_Word</group>
      <groupName>字词问题</groupName>
      <ability>L2_Typo</ability>
      <abilityName>字词错误</abilityName>
      <candidateList>
        <item>污水处理厂</item>
      </candidateList>
      <explain/>
      <paraID>5D420B67</paraID>
      <start>24</start>
      <end>29</end>
      <status>modified</status>
      <modifiedWord>污水处理厂</modifiedWord>
      <trackRevisions>false</trackRevisions>
    </reviewItem>
    <reviewItem>
      <errorID>9b1d6c10-ee54-41fe-829d-96ac2464e927</errorID>
      <errorWord>日前</errorWord>
      <group>L1_Word</group>
      <groupName>字词问题</groupName>
      <ability>L2_Typo</ability>
      <abilityName>字词错误</abilityName>
      <candidateList>
        <item>目前</item>
      </candidateList>
      <explain>存在字形相近字词的误用。</explain>
      <paraID>5D420B67</paraID>
      <start>106</start>
      <end>108</end>
      <status>modified</status>
      <modifiedWord>目前</modifiedWord>
      <trackRevisions>false</trackRevisions>
    </reviewItem>
    <reviewItem>
      <errorID>9fa261b4-ef07-401f-925f-187206409e5a</errorID>
      <errorWord>)</errorWord>
      <group>L1_Format</group>
      <groupName>格式问题</groupName>
      <ability>L2_HalfPunc_CN</ability>
      <abilityName>全半角问题</abilityName>
      <candidateList>
        <item>）</item>
      </candidateList>
      <explain>文本全半角错误。</explain>
      <paraID>170EA13E</paraID>
      <start>18</start>
      <end>19</end>
      <status>modified</status>
      <modifiedWord>）</modifiedWord>
      <trackRevisions>false</trackRevisions>
    </reviewItem>
    <reviewItem>
      <errorID>903b3829-7f95-4ad6-bfd3-e91a6b13dc2b</errorID>
      <errorWord>)</errorWord>
      <group>L1_Format</group>
      <groupName>格式问题</groupName>
      <ability>L2_HalfPunc_CN</ability>
      <abilityName>全半角问题</abilityName>
      <candidateList>
        <item>）</item>
      </candidateList>
      <explain>文本全半角错误。</explain>
      <paraID>170EA13E</paraID>
      <start>31</start>
      <end>32</end>
      <status>modified</status>
      <modifiedWord>）</modifiedWord>
      <trackRevisions>false</trackRevisions>
    </reviewItem>
    <reviewItem>
      <errorID>4a1acda0-5331-4039-a089-11aa8a4aa81d</errorID>
      <errorWord>)</errorWord>
      <group>L1_Format</group>
      <groupName>格式问题</groupName>
      <ability>L2_HalfPunc_CN</ability>
      <abilityName>全半角问题</abilityName>
      <candidateList>
        <item>）</item>
      </candidateList>
      <explain>文本全半角错误。</explain>
      <paraID>170EA13E</paraID>
      <start>45</start>
      <end>46</end>
      <status>modified</status>
      <modifiedWord>）</modifiedWord>
      <trackRevisions>false</trackRevisions>
    </reviewItem>
    <reviewItem>
      <errorID>1ea75228-1d97-40a3-a5d2-390085d31b96</errorID>
      <errorWord>)</errorWord>
      <group>L1_Format</group>
      <groupName>格式问题</groupName>
      <ability>L2_HalfPunc_CN</ability>
      <abilityName>全半角问题</abilityName>
      <candidateList>
        <item>）</item>
      </candidateList>
      <explain>文本全半角错误。</explain>
      <paraID>170EA13E</paraID>
      <start>62</start>
      <end>63</end>
      <status>modified</status>
      <modifiedWord>）</modifiedWord>
      <trackRevisions>false</trackRevisions>
    </reviewItem>
    <reviewItem>
      <errorID>77fa1d38-cd66-421b-81a8-82b357ef5e76</errorID>
      <errorWord>)</errorWord>
      <group>L1_Format</group>
      <groupName>格式问题</groupName>
      <ability>L2_HalfPunc_CN</ability>
      <abilityName>全半角问题</abilityName>
      <candidateList>
        <item>）</item>
      </candidateList>
      <explain>文本全半角错误。</explain>
      <paraID>6878BFBE</paraID>
      <start>168</start>
      <end>169</end>
      <status>modified</status>
      <modifiedWord>）</modifiedWord>
      <trackRevisions>false</trackRevisions>
    </reviewItem>
    <reviewItem>
      <errorID>959c0b00-6575-41af-aad4-8d942670c4a2</errorID>
      <errorWord>六大约束</errorWord>
      <group>L1_Political</group>
      <groupName>政治性问题</groupName>
      <ability>L2_Keyword</ability>
      <abilityName>固定表述</abilityName>
      <candidateList>
        <item>六大纪律</item>
      </candidateList>
      <explain>词汇“六大纪律”在特定场景下为固定表述形式，请确认此处的“六大约束”是否存在不当。</explain>
      <paraID>3681165C</paraID>
      <start>74</start>
      <end>78</end>
      <status>modified</status>
      <modifiedWord>六大纪律</modifiedWord>
      <trackRevisions>false</trackRevisions>
    </reviewItem>
    <reviewItem>
      <errorID>f5385c5c-6157-4743-b731-9b01a2c40c57</errorID>
      <errorWord>污水厂</errorWord>
      <group>L1_Word</group>
      <groupName>字词问题</groupName>
      <ability>L2_Typo</ability>
      <abilityName>字词错误</abilityName>
      <candidateList>
        <item>污水处理厂</item>
      </candidateList>
      <explain/>
      <paraID>21B42617</paraID>
      <start>5</start>
      <end>10</end>
      <status>modified</status>
      <modifiedWord>污水处理厂</modifiedWord>
      <trackRevisions>false</trackRevisions>
    </reviewItem>
    <reviewItem>
      <errorID>378009d8-2ead-41e4-abae-a43d220c051f</errorID>
      <errorWord>)</errorWord>
      <group>L1_Format</group>
      <groupName>格式问题</groupName>
      <ability>L2_HalfPunc_CN</ability>
      <abilityName>全半角问题</abilityName>
      <candidateList>
        <item>）</item>
      </candidateList>
      <explain>文本全半角错误。</explain>
      <paraID>159BDA5E</paraID>
      <start>112</start>
      <end>113</end>
      <status>modified</status>
      <modifiedWord>）</modifiedWord>
      <trackRevisions>false</trackRevisions>
    </reviewItem>
    <reviewItem>
      <errorID>ef6309b0-b835-4e88-ac18-2844c2ad6d0c</errorID>
      <errorWord>)</errorWord>
      <group>L1_Format</group>
      <groupName>格式问题</groupName>
      <ability>L2_HalfPunc_CN</ability>
      <abilityName>全半角问题</abilityName>
      <candidateList>
        <item>）</item>
      </candidateList>
      <explain>文本全半角错误。</explain>
      <paraID> 378B3B0</paraID>
      <start>72</start>
      <end>73</end>
      <status>modified</status>
      <modifiedWord>）</modifiedWord>
      <trackRevisions>false</trackRevisions>
    </reviewItem>
    <reviewItem>
      <errorID>89efd057-0fe7-4e9f-9775-5acfd7443975</errorID>
      <errorWord>)</errorWord>
      <group>L1_Format</group>
      <groupName>格式问题</groupName>
      <ability>L2_HalfPunc_CN</ability>
      <abilityName>全半角问题</abilityName>
      <candidateList>
        <item>）</item>
      </candidateList>
      <explain>文本全半角错误。</explain>
      <paraID> 378B3B0</paraID>
      <start>168</start>
      <end>169</end>
      <status>modified</status>
      <modifiedWord>）</modifiedWord>
      <trackRevisions>false</trackRevisions>
    </reviewItem>
    <reviewItem>
      <errorID>8d801407-3019-4b74-b58c-677297c9ac29</errorID>
      <errorWord>)</errorWord>
      <group>L1_Format</group>
      <groupName>格式问题</groupName>
      <ability>L2_HalfPunc_CN</ability>
      <abilityName>全半角问题</abilityName>
      <candidateList>
        <item>）</item>
      </candidateList>
      <explain>文本全半角错误。</explain>
      <paraID> 378B3B0</paraID>
      <start>467</start>
      <end>468</end>
      <status>modified</status>
      <modifiedWord>）</modifiedWord>
      <trackRevisions>false</trackRevisions>
    </reviewItem>
    <reviewItem>
      <errorID>8094ae9c-e4ba-437e-bf07-a1eae4281bba</errorID>
      <errorWord>-</errorWord>
      <group>L1_Format</group>
      <groupName>格式问题</groupName>
      <ability>L2_HalfPunc_CN</ability>
      <abilityName>全半角问题</abilityName>
      <candidateList>
        <item>－</item>
      </candidateList>
      <explain>文本全半角错误。</explain>
      <paraID>37D84ADE</paraID>
      <start>53</start>
      <end>54</end>
      <status>modified</status>
      <modifiedWord>－</modifiedWord>
      <trackRevisions>false</trackRevisions>
    </reviewItem>
    <reviewItem>
      <errorID>0e12cfd1-0881-415f-bb88-e8bd3e9a63ba</errorID>
      <errorWord>逐时</errorWord>
      <group>L1_Word</group>
      <groupName>字词问题</groupName>
      <ability>L2_Typo</ability>
      <abilityName>字词错误</abilityName>
      <candidateList>
        <item>实时</item>
      </candidateList>
      <explain/>
      <paraID>37D84ADE</paraID>
      <start>97</start>
      <end>99</end>
      <status>modified</status>
      <modifiedWord>实时</modifiedWord>
      <trackRevisions>false</trackRevisions>
    </reviewItem>
    <reviewItem>
      <errorID>c8765ba5-162b-4ea4-8a92-04ca7fc7a65d</errorID>
      <errorWord>10%-20%</errorWord>
      <group>L1_Knowledge</group>
      <groupName>知识性问题</groupName>
      <ability>L2_Knowledge</ability>
      <abilityName>其他知识</abilityName>
      <candidateList>
        <item>10%—20%</item>
      </candidateList>
      <explain>1. “10%-20%”中的单位“%”仅出现在后一个数字上，容易引起歧义；根据《现代汉语标点符号数字用法规范手册》，数字表示范围两边需要使用统一的格式。2. 根据标点国标 4.13 中的规则，数字、时间或地域连接符应使用（视觉上更长的）“—”或“～”。</explain>
      <paraID>334D5D22</paraID>
      <start>24</start>
      <end>31</end>
      <status>modified</status>
      <modifiedWord>10%—20%</modifiedWord>
      <trackRevisions>false</trackRevisions>
    </reviewItem>
    <reviewItem>
      <errorID>f51d6e6e-28a9-4472-8611-7e51edbeef72</errorID>
      <errorWord>10%-15%</errorWord>
      <group>L1_Knowledge</group>
      <groupName>知识性问题</groupName>
      <ability>L2_Knowledge</ability>
      <abilityName>其他知识</abilityName>
      <candidateList>
        <item>10%—15%</item>
      </candidateList>
      <explain>1. “10%-15%”中的单位“%”仅出现在后一个数字上，容易引起歧义；根据《现代汉语标点符号数字用法规范手册》，数字表示范围两边需要使用统一的格式。2. 根据标点国标 4.13 中的规则，数字、时间或地域连接符应使用（视觉上更长的）“—”或“～”。</explain>
      <paraID>334D5D22</paraID>
      <start>37</start>
      <end>44</end>
      <status>modified</status>
      <modifiedWord>10%—15%</modifiedWord>
      <trackRevisions>false</trackRevisions>
    </reviewItem>
    <reviewItem>
      <errorID>5b608bf8-9090-453f-bf63-b81fac1ba4f7</errorID>
      <errorWord>3-5万</errorWord>
      <group>L1_Knowledge</group>
      <groupName>知识性问题</groupName>
      <ability>L2_Knowledge</ability>
      <abilityName>其他知识</abilityName>
      <candidateList>
        <item>3万—5万</item>
      </candidateList>
      <explain>1. “3-5万”中的单位“万”仅出现在后一个数字上，容易引起歧义；根据《现代汉语标点符号数字用法规范手册》，数字表示范围两边需要使用统一的格式。2. 根据标点国标 4.13 中的规则，数字、时间或地域连接符应使用（视觉上更长的）“—”或“～”。</explain>
      <paraID>334D5D22</paraID>
      <start>86</start>
      <end>91</end>
      <status>modified</status>
      <modifiedWord>3万—5万</modifiedWord>
      <trackRevisions>false</trackRevisions>
    </reviewItem>
    <reviewItem>
      <errorID>fceacbe8-5de0-49e4-9204-240d58866c35</errorID>
      <errorWord>-</errorWord>
      <group>L1_Punc</group>
      <groupName>标点问题</groupName>
      <ability>L2_Punc_CN</ability>
      <abilityName>标点符号问题</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334D5D22</paraID>
      <start>98</start>
      <end>99</end>
      <status>modified</status>
      <modifiedWord>—</modifiedWord>
      <trackRevisions>false</trackRevisions>
    </reviewItem>
    <reviewItem>
      <errorID>83a006d3-e974-4071-bf3d-35765d72a11d</errorID>
      <errorWord>6-10万</errorWord>
      <group>L1_Knowledge</group>
      <groupName>知识性问题</groupName>
      <ability>L2_Knowledge</ability>
      <abilityName>其他知识</abilityName>
      <candidateList>
        <item>6万—10万</item>
      </candidateList>
      <explain>1. “6-10万”中的单位“万”仅出现在后一个数字上，容易引起歧义；根据《现代汉语标点符号数字用法规范手册》，数字表示范围两边需要使用统一的格式。2. 根据标点国标 4.13 中的规则，数字、时间或地域连接符应使用（视觉上更长的）“—”或“～”。</explain>
      <paraID>334D5D22</paraID>
      <start>140</start>
      <end>146</end>
      <status>modified</status>
      <modifiedWord>6万—10万</modifiedWord>
      <trackRevisions>false</trackRevisions>
    </reviewItem>
    <reviewItem>
      <errorID>8b7dfd24-f025-4663-93a6-fcb2c5bf4bd3</errorID>
      <errorWord>-</errorWord>
      <group>L1_Punc</group>
      <groupName>标点问题</groupName>
      <ability>L2_Punc_CN</ability>
      <abilityName>标点符号问题</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334D5D22</paraID>
      <start>154</start>
      <end>155</end>
      <status>modified</status>
      <modifiedWord>—</modifiedWord>
      <trackRevisions>false</trackRevisions>
    </reviewItem>
    <reviewItem>
      <errorID>23d46620-87d8-4f7f-8301-e19f0cb4156e</errorID>
      <errorWord>污水厂</errorWord>
      <group>L1_Word</group>
      <groupName>字词问题</groupName>
      <ability>L2_Typo</ability>
      <abilityName>字词错误</abilityName>
      <candidateList>
        <item>污水处理厂</item>
      </candidateList>
      <explain/>
      <paraID>58EEBD40</paraID>
      <start>175</start>
      <end>180</end>
      <status>modified</status>
      <modifiedWord>污水处理厂</modifiedWord>
      <trackRevisions>false</trackRevisions>
    </reviewItem>
    <reviewItem>
      <errorID>fed80ae9-ef68-429c-b06e-51702fea4609</errorID>
      <errorWord>-</errorWord>
      <group>L1_Format</group>
      <groupName>格式问题</groupName>
      <ability>L2_HalfPunc_CN</ability>
      <abilityName>全半角问题</abilityName>
      <candidateList>
        <item>－</item>
      </candidateList>
      <explain>文本全半角错误。</explain>
      <paraID>72947874</paraID>
      <start>5</start>
      <end>6</end>
      <status>modified</status>
      <modifiedWord>－</modifiedWord>
      <trackRevisions>false</trackRevisions>
    </reviewItem>
    <reviewItem>
      <errorID>ce6cf6cb-82d7-438e-b0c8-98b34fcbb74a</errorID>
      <errorWord>-</errorWord>
      <group>L1_Format</group>
      <groupName>格式问题</groupName>
      <ability>L2_HalfPunc_CN</ability>
      <abilityName>全半角问题</abilityName>
      <candidateList>
        <item>－</item>
      </candidateList>
      <explain>文本全半角错误。</explain>
      <paraID>72947874</paraID>
      <start>8</start>
      <end>9</end>
      <status>modified</status>
      <modifiedWord>－</modifiedWord>
      <trackRevisions>false</trackRevisions>
    </reviewItem>
    <reviewItem>
      <errorID>3c6f002e-c6de-4463-bb3a-fe58709cc0f4</errorID>
      <errorWord>污水厂</errorWord>
      <group>L1_Word</group>
      <groupName>字词问题</groupName>
      <ability>L2_Typo</ability>
      <abilityName>字词错误</abilityName>
      <candidateList>
        <item>污水处理厂</item>
      </candidateList>
      <explain/>
      <paraID>4D10906E</paraID>
      <start>24</start>
      <end>29</end>
      <status>modified</status>
      <modifiedWord>污水处理厂</modifiedWord>
      <trackRevisions>false</trackRevisions>
    </reviewItem>
    <reviewItem>
      <errorID>3dbd4f45-a811-4510-85b8-86d34f9904d6</errorID>
      <errorWord>.</errorWord>
      <group>L1_Format</group>
      <groupName>格式问题</groupName>
      <ability>L2_HalfPunc_CN</ability>
      <abilityName>全半角问题</abilityName>
      <candidateList>
        <item>。</item>
      </candidateList>
      <explain>文本全半角错误。</explain>
      <paraID>1B8E64F1</paraID>
      <start>22</start>
      <end>23</end>
      <status>modified</status>
      <modifiedWord>。</modifiedWord>
      <trackRevisions>false</trackRevisions>
    </reviewItem>
    <reviewItem>
      <errorID>084e1d91-7a72-4669-96b0-ec40881fc499</errorID>
      <errorWord>.</errorWord>
      <group>L1_Format</group>
      <groupName>格式问题</groupName>
      <ability>L2_HalfPunc_CN</ability>
      <abilityName>全半角问题</abilityName>
      <candidateList>
        <item>。</item>
      </candidateList>
      <explain>文本全半角错误。</explain>
      <paraID>225AE24E</paraID>
      <start>14</start>
      <end>15</end>
      <status>modified</status>
      <modifiedWord>。</modifiedWord>
      <trackRevisions>false</trackRevisions>
    </reviewItem>
    <reviewItem>
      <errorID>476fb3ae-d904-4f19-a863-a68747e421cd</errorID>
      <errorWord>.</errorWord>
      <group>L1_Format</group>
      <groupName>格式问题</groupName>
      <ability>L2_HalfPunc_CN</ability>
      <abilityName>全半角问题</abilityName>
      <candidateList>
        <item>。</item>
      </candidateList>
      <explain>文本全半角错误。</explain>
      <paraID>3C466355</paraID>
      <start>13</start>
      <end>14</end>
      <status>modified</status>
      <modifiedWord>。</modifiedWord>
      <trackRevisions>false</trackRevisions>
    </reviewItem>
    <reviewItem>
      <errorID>52110354-d975-432f-a674-49da03fb3a4e</errorID>
      <errorWord>.</errorWord>
      <group>L1_Format</group>
      <groupName>格式问题</groupName>
      <ability>L2_HalfPunc_CN</ability>
      <abilityName>全半角问题</abilityName>
      <candidateList>
        <item>。</item>
      </candidateList>
      <explain>文本全半角错误。</explain>
      <paraID>669AA510</paraID>
      <start>13</start>
      <end>14</end>
      <status>modified</status>
      <modifiedWord>。</modifiedWord>
      <trackRevisions>false</trackRevisions>
    </reviewItem>
    <reviewItem>
      <errorID>768bdc8f-3e9e-4129-a75d-0dd31258a6ac</errorID>
      <errorWord>.</errorWord>
      <group>L1_Format</group>
      <groupName>格式问题</groupName>
      <ability>L2_HalfPunc_CN</ability>
      <abilityName>全半角问题</abilityName>
      <candidateList>
        <item>。</item>
      </candidateList>
      <explain>文本全半角错误。</explain>
      <paraID>432EE41E</paraID>
      <start>14</start>
      <end>15</end>
      <status>modified</status>
      <modifiedWord>。</modifiedWord>
      <trackRevisions>false</trackRevisions>
    </reviewItem>
  </reviewItems>
  <config/>
</contractReview>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9790d9-1d6b-4439-bb0d-ecde9793be12}">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8698</Words>
  <Characters>11226</Characters>
  <Lines>0</Lines>
  <Paragraphs>0</Paragraphs>
  <TotalTime>569</TotalTime>
  <ScaleCrop>false</ScaleCrop>
  <LinksUpToDate>false</LinksUpToDate>
  <CharactersWithSpaces>11577</CharactersWithSpaces>
  <Application>WPS Office_12.1.0.26885_F1E327BC-269C-435d-A152-05C5408002CA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王雅妮</cp:lastModifiedBy>
  <dcterms:modified xsi:type="dcterms:W3CDTF">2026-08-22T02:23:22Z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eyJoZGlkIjoiYjQ4ZjRiYjc4NDgzZGY4OWRmNTY3NGE2YzJkZDBiMDYiLCJ1c2VySWQiOiIxNjA1NTg0NjExIn0=</vt:lpwstr>
  </property>
  <property fmtid="{D5CDD505-2E9C-101B-9397-08002B2CF9AE}" pid="3" name="KSOProductBuildVer">
    <vt:lpwstr>2052-12.1.0.26885</vt:lpwstr>
  </property>
  <property fmtid="{D5CDD505-2E9C-101B-9397-08002B2CF9AE}" pid="4" name="ICV">
    <vt:lpwstr>F93F7C4629164D6F8C27DD6421338B4B_13</vt:lpwstr>
  </property>
</Properties>
</file>