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svg" ContentType="image/svg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B8A6E" w14:textId="77777777" w:rsidR="00753041" w:rsidRDefault="00000000">
      <w:pPr>
        <w:spacing w:after="150"/>
        <w:jc w:val="center"/>
        <w:rPr>
          <w:rFonts w:hint="eastAsia"/>
        </w:rPr>
      </w:pPr>
      <w:r>
        <w:rPr>
          <w:b/>
          <w:bCs/>
          <w:sz w:val="44"/>
          <w:szCs w:val="44"/>
        </w:rPr>
        <w:t>电-碳双驱污水厂储能充放电智能优化系统</w:t>
      </w:r>
    </w:p>
    <w:p w14:paraId="23EA7E19" w14:textId="77777777" w:rsidR="00753041" w:rsidRDefault="00000000">
      <w:pPr>
        <w:spacing w:before="400" w:after="80"/>
        <w:rPr>
          <w:rFonts w:hint="eastAsia"/>
        </w:rPr>
      </w:pPr>
      <w:r>
        <w:rPr>
          <w:b/>
          <w:bCs/>
          <w:sz w:val="36"/>
          <w:szCs w:val="36"/>
        </w:rPr>
        <w:t>模块一：负荷预测 — 技术方案报告</w:t>
      </w:r>
    </w:p>
    <w:p w14:paraId="75F43A47" w14:textId="77777777" w:rsidR="00753041" w:rsidRDefault="00000000">
      <w:pPr>
        <w:pStyle w:val="1"/>
        <w:spacing w:before="400" w:after="200"/>
        <w:rPr>
          <w:rFonts w:hint="eastAsia"/>
          <w:color w:val="auto"/>
        </w:rPr>
      </w:pPr>
      <w:r>
        <w:rPr>
          <w:b/>
          <w:bCs/>
          <w:color w:val="auto"/>
        </w:rPr>
        <w:t>一、问题定义与业务背景</w:t>
      </w:r>
    </w:p>
    <w:p w14:paraId="356CB4A6" w14:textId="77777777" w:rsidR="00753041" w:rsidRDefault="00000000">
      <w:pPr>
        <w:pStyle w:val="2"/>
        <w:spacing w:before="300" w:after="150"/>
        <w:rPr>
          <w:rFonts w:hint="eastAsia"/>
          <w:color w:val="auto"/>
        </w:rPr>
      </w:pPr>
      <w:r>
        <w:rPr>
          <w:b/>
          <w:bCs/>
          <w:color w:val="auto"/>
        </w:rPr>
        <w:t>1.1 为什么需要负荷预测</w:t>
      </w:r>
    </w:p>
    <w:p w14:paraId="265B0BB7" w14:textId="77777777" w:rsidR="00753041" w:rsidRDefault="00000000">
      <w:pPr>
        <w:spacing w:after="120"/>
        <w:rPr>
          <w:rFonts w:hint="eastAsia"/>
        </w:rPr>
      </w:pPr>
      <w:r>
        <w:t>负荷预测是整个系统的'眼睛'——储能优化调度需要提前知道未来24小时的用电需求，才能制定最优的充放电策略：什么时候充电、什么时候放电、从电网买多少电。预测精度直接影响优化调度的效果和电费节省空间。</w:t>
      </w:r>
    </w:p>
    <w:p w14:paraId="0DDD22EE" w14:textId="77777777" w:rsidR="00753041" w:rsidRDefault="00000000">
      <w:pPr>
        <w:pStyle w:val="2"/>
        <w:spacing w:before="300" w:after="150"/>
        <w:rPr>
          <w:rFonts w:hint="eastAsia"/>
          <w:color w:val="auto"/>
        </w:rPr>
      </w:pPr>
      <w:r>
        <w:rPr>
          <w:b/>
          <w:bCs/>
          <w:color w:val="auto"/>
        </w:rPr>
        <w:t>1.2 预测目标</w:t>
      </w:r>
    </w:p>
    <w:p w14:paraId="7791C7D2" w14:textId="77777777" w:rsidR="00753041" w:rsidRDefault="00000000">
      <w:pPr>
        <w:spacing w:after="120"/>
        <w:rPr>
          <w:rFonts w:hint="eastAsia"/>
        </w:rPr>
      </w:pPr>
      <w:r>
        <w:t>输入：过去N天的历史负荷数据、光伏出力数据、气象数据和时间特征。输出：未来24小时逐时负荷预测值（kW）。该输出直接传递给模块二（优化调度），作为储能充放电决策的基础输入。</w:t>
      </w:r>
    </w:p>
    <w:p w14:paraId="2EABA872" w14:textId="77777777" w:rsidR="00753041" w:rsidRDefault="00000000">
      <w:pPr>
        <w:pStyle w:val="2"/>
        <w:spacing w:before="300" w:after="150"/>
        <w:rPr>
          <w:rFonts w:hint="eastAsia"/>
          <w:color w:val="auto"/>
        </w:rPr>
      </w:pPr>
      <w:r>
        <w:rPr>
          <w:b/>
          <w:bCs/>
          <w:color w:val="auto"/>
        </w:rPr>
        <w:t>1.3 在系统架构中的位置</w:t>
      </w:r>
    </w:p>
    <w:p w14:paraId="0A69D949" w14:textId="77777777" w:rsidR="00753041" w:rsidRDefault="00000000">
      <w:pPr>
        <w:spacing w:after="120"/>
        <w:rPr>
          <w:rFonts w:hint="eastAsia"/>
        </w:rPr>
      </w:pPr>
      <w:r>
        <w:t>负荷预测模块位于数据层之上、调度层之下。数据层汇集四类数据源（负荷、光伏、储能、气象），预测模块处理后产出24h负荷曲线，调度模块据此结合分时电价和碳排放因子制定充放电计划，最终呈现在数字孪生大屏上。</w:t>
      </w:r>
    </w:p>
    <w:p w14:paraId="19C17E05" w14:textId="77777777" w:rsidR="00753041" w:rsidRDefault="00000000">
      <w:pPr>
        <w:pStyle w:val="1"/>
        <w:spacing w:before="400" w:after="200"/>
        <w:rPr>
          <w:rFonts w:hint="eastAsia"/>
          <w:color w:val="auto"/>
        </w:rPr>
      </w:pPr>
      <w:r>
        <w:rPr>
          <w:b/>
          <w:bCs/>
          <w:color w:val="auto"/>
        </w:rPr>
        <w:t>二、数据基础</w:t>
      </w:r>
    </w:p>
    <w:p w14:paraId="2F0C37A5" w14:textId="77777777" w:rsidR="00753041" w:rsidRDefault="00000000">
      <w:pPr>
        <w:pStyle w:val="2"/>
        <w:spacing w:before="300" w:after="150"/>
        <w:rPr>
          <w:rFonts w:hint="eastAsia"/>
          <w:color w:val="auto"/>
        </w:rPr>
      </w:pPr>
      <w:r>
        <w:rPr>
          <w:b/>
          <w:bCs/>
          <w:color w:val="auto"/>
        </w:rPr>
        <w:t>2.1 四类数据源</w:t>
      </w:r>
    </w:p>
    <w:p w14:paraId="02BF86C4" w14:textId="77777777" w:rsidR="00753041" w:rsidRDefault="00000000">
      <w:pPr>
        <w:spacing w:after="120"/>
        <w:rPr>
          <w:rFonts w:hint="eastAsia"/>
        </w:rPr>
      </w:pPr>
      <w:r>
        <w:t>系统涉及四类数据，时间覆盖2025年1月至2026年7月。</w:t>
      </w:r>
    </w:p>
    <w:p w14:paraId="17D5B494" w14:textId="5981FE71" w:rsidR="00291371" w:rsidRDefault="00000000">
      <w:pPr>
        <w:spacing w:after="120"/>
        <w:rPr>
          <w:rFonts w:hint="eastAsia"/>
        </w:rPr>
      </w:pPr>
      <w:r>
        <w:t>负荷数据：2025年4月至2026年4月，共395天逐时记录。日均用电580 kWh（约24.2 kW平均功率），日用电范围345~701 kWh。负荷呈典型三峰形态——凌晨低谷约19 kW（2-5时）、上午小高峰约25 kW（7-8时）、下午主高峰约30 kW（18-20时）。工作日与周末几乎无差异（仅差0.7%），体现了污水厂工业负荷的强连续性。</w:t>
      </w:r>
    </w:p>
    <w:p w14:paraId="6C0FED1F" w14:textId="67320FC6" w:rsidR="00291371" w:rsidRDefault="00291371" w:rsidP="00DF53EE">
      <w:pPr>
        <w:spacing w:after="1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6941C5D" wp14:editId="54479CB0">
            <wp:extent cx="5729535" cy="3282457"/>
            <wp:effectExtent l="0" t="0" r="5080" b="0"/>
            <wp:docPr id="920655760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55760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662" cy="332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0D9B" w14:textId="26F0C4E5" w:rsidR="00753041" w:rsidRDefault="00000000">
      <w:pPr>
        <w:spacing w:after="120"/>
        <w:rPr>
          <w:rFonts w:hint="eastAsia"/>
        </w:rPr>
      </w:pPr>
      <w:r>
        <w:t>光伏数据：2025年7月至2026年6月，共361天逐时发电记录。光伏装机容量8 MWp，日均发电10,145 kWh，</w:t>
      </w:r>
      <w:r w:rsidR="00A91E14" w:rsidRPr="00A91E14">
        <w:t>厂区日均用电的17.5倍——表明该光伏电站以余电上网为主、负荷自用为辅，与厂区负荷曲线无强因果耦合。</w:t>
      </w:r>
      <w:r>
        <w:t>光伏出力集中在6:00-18:00，午间峰值可达1,400 kW。日发电量与日总辐射的Pearson相关系数高达0.84，辐射是光伏出力的绝对主导因子。</w:t>
      </w:r>
    </w:p>
    <w:p w14:paraId="3969D6CE" w14:textId="77777777" w:rsidR="00753041" w:rsidRDefault="00000000">
      <w:pPr>
        <w:spacing w:after="120"/>
        <w:rPr>
          <w:rFonts w:hint="eastAsia"/>
        </w:rPr>
      </w:pPr>
      <w:r>
        <w:t>储能数据：2025年8月至2026年6月，共323天。储能容量0.22 MWh（220 kWh），仅能存储光伏日均发电量的2.2%，是系统的明显瓶颈。日均充电38.3 kWh，日均放电52.5 kWh，充放电功率范围0~10 kW。</w:t>
      </w:r>
    </w:p>
    <w:p w14:paraId="2C626FC8" w14:textId="77777777" w:rsidR="00753041" w:rsidRDefault="00000000">
      <w:pPr>
        <w:spacing w:after="120"/>
        <w:rPr>
          <w:rFonts w:hint="eastAsia"/>
        </w:rPr>
      </w:pPr>
      <w:r>
        <w:t>气象数据：ERA5-Land再分析数据，中山市（22.52°N, 113.38°E），2025年1月至2026年7月共575天。原始粒度为每10分钟，已重采样为逐时。入模要素包括：2m气温、露点温度、降水量、太阳总辐射、云覆盖率、风速、地表气压。</w:t>
      </w:r>
    </w:p>
    <w:p w14:paraId="5767286B" w14:textId="77777777" w:rsidR="00753041" w:rsidRDefault="00000000">
      <w:pPr>
        <w:pStyle w:val="2"/>
        <w:spacing w:before="300" w:after="150"/>
        <w:rPr>
          <w:rFonts w:hint="eastAsia"/>
          <w:color w:val="auto"/>
        </w:rPr>
      </w:pPr>
      <w:r>
        <w:rPr>
          <w:b/>
          <w:bCs/>
          <w:color w:val="auto"/>
        </w:rPr>
        <w:t>2.2 数据预处理</w:t>
      </w:r>
    </w:p>
    <w:p w14:paraId="2B8665C4" w14:textId="77777777" w:rsidR="00753041" w:rsidRDefault="00000000">
      <w:pPr>
        <w:spacing w:after="120"/>
        <w:rPr>
          <w:rFonts w:hint="eastAsia"/>
        </w:rPr>
      </w:pPr>
      <w:r>
        <w:t>原始数据经过四步处理。第一步，异常值检测：用IQR方法识别负荷尖峰或零值，人工核查后标记而非直接删除。第二步，缺失值插补：小于3个连续缺失用线性插值，大于等于3个用前后7天同期均值填充。第三步，气象要素聚合：逐时数据按日汇总为日最高温、日最低温、日均温、日降水量、日总辐射、日均云量等日级特征。第四步，特征编码：小时、星期、月份用正弦余弦编码（sin/cos）以保留周期性；季节和降水等级用标签编码。最终四类数据按时间戳对齐合并，形成10,944条完整记录。</w:t>
      </w:r>
    </w:p>
    <w:p w14:paraId="5DFAE253" w14:textId="77777777" w:rsidR="00753041" w:rsidRDefault="00000000">
      <w:pPr>
        <w:pStyle w:val="1"/>
        <w:spacing w:before="400" w:after="200"/>
        <w:rPr>
          <w:rFonts w:hint="eastAsia"/>
          <w:color w:val="auto"/>
        </w:rPr>
      </w:pPr>
      <w:r>
        <w:rPr>
          <w:b/>
          <w:bCs/>
          <w:color w:val="auto"/>
        </w:rPr>
        <w:t>三、负荷特征分析</w:t>
      </w:r>
    </w:p>
    <w:p w14:paraId="7CC966FC" w14:textId="77777777" w:rsidR="00753041" w:rsidRDefault="00000000">
      <w:pPr>
        <w:spacing w:after="120"/>
        <w:rPr>
          <w:rFonts w:hint="eastAsia"/>
        </w:rPr>
      </w:pPr>
      <w:r>
        <w:t>基于395天逐时数据的系统分析，以下是影响负荷预测的关键发现，这些发现直接指导了后续模</w:t>
      </w:r>
      <w:r>
        <w:lastRenderedPageBreak/>
        <w:t>型的特征选择。</w:t>
      </w:r>
    </w:p>
    <w:p w14:paraId="5580D3C5" w14:textId="77777777" w:rsidR="00753041" w:rsidRDefault="00000000">
      <w:pPr>
        <w:pStyle w:val="2"/>
        <w:spacing w:before="300" w:after="150"/>
        <w:rPr>
          <w:rFonts w:hint="eastAsia"/>
          <w:color w:val="auto"/>
        </w:rPr>
      </w:pPr>
      <w:r>
        <w:rPr>
          <w:b/>
          <w:bCs/>
          <w:color w:val="auto"/>
        </w:rPr>
        <w:t>3.1 气温是第一驱动因子</w:t>
      </w:r>
    </w:p>
    <w:p w14:paraId="4A492114" w14:textId="77777777" w:rsidR="00753041" w:rsidRDefault="00000000">
      <w:pPr>
        <w:spacing w:after="120"/>
        <w:rPr>
          <w:rFonts w:hint="eastAsia"/>
        </w:rPr>
      </w:pPr>
      <w:r>
        <w:t>气温的三个指标与日总负荷的Pearson相关系数分别为：日最低温0.694（最强）、日均温0.657、日最高温0.569。日最低温比日最高温更强，这与直觉相反——说明夜间基础负荷对温度的敏感性超过日间生产高峰时段。原因是日间生产活动主导了负荷变化，气温信号被掩盖；夜间生产停止后，空调制冷成为负荷变化的唯一主导因素。</w:t>
      </w:r>
    </w:p>
    <w:p w14:paraId="7286E769" w14:textId="77777777" w:rsidR="00753041" w:rsidRDefault="00000000">
      <w:pPr>
        <w:spacing w:after="120"/>
        <w:rPr>
          <w:rFonts w:hint="eastAsia"/>
        </w:rPr>
      </w:pPr>
      <w:r>
        <w:t>分季节看，气温-负荷关系受季节强烈调节。秋季相关性最高（r=0.76），因为气温变化直接决定空调的开关状态，敏感度最高。春季次之（r=0.44），处于过渡期。夏季几乎不相关（r=0.07），原因是高温已饱和，空调全天候运转，气温波动不再引起负荷边际变化。冬季呈弱负相关（r=-0.23），低温时采暖需求部分抵消生产负荷。</w:t>
      </w:r>
    </w:p>
    <w:p w14:paraId="3C689D9B" w14:textId="77777777" w:rsidR="00753041" w:rsidRDefault="00000000">
      <w:pPr>
        <w:spacing w:after="120"/>
        <w:rPr>
          <w:rFonts w:hint="eastAsia"/>
        </w:rPr>
      </w:pPr>
      <w:r>
        <w:t>随着日最高温从偏凉（&lt;18°C）升至酷热（&gt;35°C），日均负荷从533 kWh升至630 kWh，增长18%。同时峰谷差从11.1扩大至13.9，说明高温不仅推高总负荷，还放大了日内波动幅度。</w:t>
      </w:r>
    </w:p>
    <w:p w14:paraId="147323E5" w14:textId="77777777" w:rsidR="00753041" w:rsidRDefault="00000000">
      <w:pPr>
        <w:pStyle w:val="2"/>
        <w:spacing w:before="300" w:after="150"/>
        <w:rPr>
          <w:b/>
          <w:bCs/>
          <w:color w:val="auto"/>
        </w:rPr>
      </w:pPr>
      <w:r>
        <w:rPr>
          <w:b/>
          <w:bCs/>
          <w:color w:val="auto"/>
        </w:rPr>
        <w:t>3.2 24小时分时相关性呈U型分布</w:t>
      </w:r>
    </w:p>
    <w:p w14:paraId="40E9B22F" w14:textId="4C13A4B1" w:rsidR="00291371" w:rsidRPr="00291371" w:rsidRDefault="00291371" w:rsidP="00DF53E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8A1F2B8" wp14:editId="69CA0033">
            <wp:extent cx="5731510" cy="3145155"/>
            <wp:effectExtent l="0" t="0" r="2540" b="0"/>
            <wp:docPr id="159690065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00652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C0D7" w14:textId="00958E39" w:rsidR="00753041" w:rsidRDefault="00000000">
      <w:pPr>
        <w:spacing w:after="120"/>
        <w:rPr>
          <w:rFonts w:hint="eastAsia"/>
        </w:rPr>
      </w:pPr>
      <w:r>
        <w:t>逐时气温与逐时负荷的相关性呈典型的U型分布：夜间（22时至次日5时）平均相关系数为0.65，午间（10时至15时）降至0.42。</w:t>
      </w:r>
      <w:r w:rsidR="00A91E14" w:rsidRPr="00A91E14">
        <w:t>物理根因在于负荷构成随时间的切换——夜间生产停止，空调制冷成为负荷变化的唯一主导因子，气温相关性自然升高；午间处于生产高峰，负荷由刚性工艺设备主导，叠加光伏供给，气温对总用电的边际影响被削弱。</w:t>
      </w:r>
      <w:r>
        <w:t>夜间光伏为零，气温成为负荷变化的唯一主导因子，相关性自然回升。</w:t>
      </w:r>
    </w:p>
    <w:p w14:paraId="6C70F602" w14:textId="1AD8DABE" w:rsidR="00A91E14" w:rsidRDefault="00000000">
      <w:pPr>
        <w:spacing w:after="120"/>
        <w:rPr>
          <w:rFonts w:hint="eastAsia"/>
        </w:rPr>
      </w:pPr>
      <w:r>
        <w:t>这对预测模型有直接影响：预测电网净负荷时，</w:t>
      </w:r>
      <w:r w:rsidR="00A91E14" w:rsidRPr="00A91E14">
        <w:t>负荷预测必须将光伏出力、生产节律（小时/星期编码）作为显式特征纳入模型，而非仅依赖气温单一因子。</w:t>
      </w:r>
    </w:p>
    <w:p w14:paraId="2258AF98" w14:textId="77777777" w:rsidR="00753041" w:rsidRDefault="00000000">
      <w:pPr>
        <w:pStyle w:val="2"/>
        <w:spacing w:before="300" w:after="150"/>
        <w:rPr>
          <w:b/>
          <w:bCs/>
          <w:color w:val="auto"/>
        </w:rPr>
      </w:pPr>
      <w:r>
        <w:rPr>
          <w:b/>
          <w:bCs/>
          <w:color w:val="auto"/>
        </w:rPr>
        <w:lastRenderedPageBreak/>
        <w:t>3.3 降水与光伏的影响</w:t>
      </w:r>
    </w:p>
    <w:p w14:paraId="293234BE" w14:textId="7B99483E" w:rsidR="00291371" w:rsidRPr="00291371" w:rsidRDefault="00291371" w:rsidP="00DF53E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27569E2" wp14:editId="544B363C">
            <wp:extent cx="5731510" cy="3676015"/>
            <wp:effectExtent l="0" t="0" r="2540" b="635"/>
            <wp:docPr id="116681939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19392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1BEE" w14:textId="77777777" w:rsidR="00753041" w:rsidRDefault="00000000">
      <w:pPr>
        <w:spacing w:after="120"/>
        <w:rPr>
          <w:rFonts w:hint="eastAsia"/>
        </w:rPr>
      </w:pPr>
      <w:r>
        <w:t>降水的效应与直觉相反：雨天负荷反增约10%。无降水日日均负荷544 kWh，小雨日595 kWh（+9.4%），中雨日611 kWh（+12.3%）。原因是华南降雨通常伴随降温，气温回落后生产活动反而恢复；工业负荷具有刚性，停产概率低。同时，雨天负荷变异系数（CV）增大，预测不确定性上升——这意味着在相似日筛选中应优先在同降水等级内搜索。</w:t>
      </w:r>
    </w:p>
    <w:p w14:paraId="32ABD657" w14:textId="054A9DC7" w:rsidR="00291371" w:rsidRDefault="00000000">
      <w:pPr>
        <w:spacing w:after="120"/>
        <w:rPr>
          <w:rFonts w:hint="eastAsia"/>
        </w:rPr>
      </w:pPr>
      <w:r>
        <w:t>光伏方面，日总辐射与日发电量的Pearson相关系数为0.843，是光伏出力的绝对主导因子。辐射-发电的线性关系为：日发电量(kWh) = 696.4 × 日总辐射(MJ/m²) - 666，R² = 0.711。这意味着仅用日总辐射一个变量即可解释71%的光伏发电量方差。光伏对负荷预测的第二层影响是：午间光伏出力降低了电网净负荷，这是午间气温-负荷相关性偏弱的物理根因。</w:t>
      </w:r>
    </w:p>
    <w:p w14:paraId="64C94EDB" w14:textId="77777777" w:rsidR="00753041" w:rsidRDefault="00000000">
      <w:pPr>
        <w:pStyle w:val="2"/>
        <w:spacing w:before="300" w:after="150"/>
        <w:rPr>
          <w:rFonts w:hint="eastAsia"/>
          <w:color w:val="auto"/>
        </w:rPr>
      </w:pPr>
      <w:r>
        <w:rPr>
          <w:b/>
          <w:bCs/>
          <w:color w:val="auto"/>
        </w:rPr>
        <w:t>3.4 星期效应弱</w:t>
      </w:r>
    </w:p>
    <w:p w14:paraId="19E3169B" w14:textId="77777777" w:rsidR="00753041" w:rsidRDefault="00000000">
      <w:pPr>
        <w:spacing w:after="120"/>
        <w:rPr>
          <w:rFonts w:hint="eastAsia"/>
        </w:rPr>
      </w:pPr>
      <w:r>
        <w:t>工作日与周末的日均负荷差异仅0.7%（581 vs 577 kWh），远低于商业或居民负荷的10-20%。污水厂的生产节律不受周末影响，星期标签在模型中的权重可以适度下调。</w:t>
      </w:r>
    </w:p>
    <w:p w14:paraId="37E6F321" w14:textId="77777777" w:rsidR="00753041" w:rsidRDefault="00000000">
      <w:pPr>
        <w:pStyle w:val="2"/>
        <w:spacing w:before="300" w:after="150"/>
        <w:rPr>
          <w:rFonts w:hint="eastAsia"/>
          <w:color w:val="auto"/>
        </w:rPr>
      </w:pPr>
      <w:r>
        <w:rPr>
          <w:b/>
          <w:bCs/>
          <w:color w:val="auto"/>
        </w:rPr>
        <w:t>3.5 特征分析小结</w:t>
      </w:r>
    </w:p>
    <w:p w14:paraId="320A0305" w14:textId="1CC06F19" w:rsidR="00753041" w:rsidRDefault="00000000">
      <w:pPr>
        <w:spacing w:after="120"/>
        <w:rPr>
          <w:rFonts w:hint="eastAsia"/>
        </w:rPr>
      </w:pPr>
      <w:r>
        <w:t>综合以上分析，指导特征工程的六条核心结论：（1）气温是第一驱动因子，日最低温（r=0.69）的权重大于日最高温（r=0.57）；（2）季节调节作用显著，秋季r=0.76而夏季r=0.07，模型必须分季节建模或使用季节编码；（3）</w:t>
      </w:r>
      <w:r w:rsidR="00A91E14" w:rsidRPr="00A91E14">
        <w:t>午间相关性偏弱源于生产高峰+光伏供给的叠加——解决方法是引入光伏与时间特征；</w:t>
      </w:r>
      <w:r>
        <w:t>（4）雨天负荷反增约10%，降水不能简单建模为线性衰减因子；（5）星期效应对工业负荷几乎可忽略；（6）露点温度（r=0.673）和太阳辐射（r=0.84）是两个最强</w:t>
      </w:r>
      <w:r>
        <w:lastRenderedPageBreak/>
        <w:t>的补充特征，前者修正高湿环境下的体感温度，后者直接预测光伏出力以修正午间净负荷。</w:t>
      </w:r>
    </w:p>
    <w:p w14:paraId="45229BFA" w14:textId="77777777" w:rsidR="00753041" w:rsidRDefault="00000000">
      <w:pPr>
        <w:pStyle w:val="1"/>
        <w:spacing w:before="400" w:after="200"/>
        <w:rPr>
          <w:b/>
          <w:bCs/>
          <w:color w:val="auto"/>
        </w:rPr>
      </w:pPr>
      <w:r>
        <w:rPr>
          <w:b/>
          <w:bCs/>
          <w:color w:val="auto"/>
        </w:rPr>
        <w:t>四、预测方法</w:t>
      </w:r>
    </w:p>
    <w:p w14:paraId="07D7CE84" w14:textId="02AE3BCD" w:rsidR="00FB721A" w:rsidRPr="00FB721A" w:rsidRDefault="001F34F6" w:rsidP="00FB721A">
      <w:pPr>
        <w:rPr>
          <w:rFonts w:hint="eastAsia"/>
        </w:rPr>
      </w:pPr>
      <w:r>
        <w:rPr>
          <w:noProof/>
        </w:rPr>
        <w:drawing>
          <wp:inline distT="0" distB="0" distL="0" distR="0" wp14:anchorId="552CA933" wp14:editId="342A8ED8">
            <wp:extent cx="5731510" cy="4328160"/>
            <wp:effectExtent l="0" t="0" r="2540" b="0"/>
            <wp:docPr id="1821251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69265" w14:textId="77777777" w:rsidR="00753041" w:rsidRDefault="00000000">
      <w:pPr>
        <w:pStyle w:val="2"/>
        <w:spacing w:before="300" w:after="150"/>
        <w:rPr>
          <w:rFonts w:hint="eastAsia"/>
          <w:color w:val="auto"/>
        </w:rPr>
      </w:pPr>
      <w:r>
        <w:rPr>
          <w:b/>
          <w:bCs/>
          <w:color w:val="auto"/>
        </w:rPr>
        <w:t>4.1 相似日加权预测（基线）</w:t>
      </w:r>
    </w:p>
    <w:p w14:paraId="6BEB1EF4" w14:textId="77777777" w:rsidR="00753041" w:rsidRDefault="00000000">
      <w:pPr>
        <w:spacing w:after="120"/>
        <w:rPr>
          <w:rFonts w:hint="eastAsia"/>
        </w:rPr>
      </w:pPr>
      <w:r>
        <w:t>核心思路：找到历史上与目标日气象条件最相似的几天，用这些日子的实际负荷曲线按相似度加权平均，作为目标日的预测负荷。不需要训练模型，可解释性强（能精准追溯'为什么预测这个值'），无过拟合风险。</w:t>
      </w:r>
    </w:p>
    <w:p w14:paraId="360F76EB" w14:textId="6D304862" w:rsidR="00753041" w:rsidRDefault="00A91E14">
      <w:pPr>
        <w:spacing w:after="120"/>
        <w:rPr>
          <w:rFonts w:hint="eastAsia"/>
        </w:rPr>
      </w:pPr>
      <w:r w:rsidRPr="00A91E14">
        <w:t>相似度采用7因子加权：数值因子（日最高温、日最低温、露点温度）经z-score标准化消除量纲后计算曼哈顿距离；离散因子（降水等级、季节</w:t>
      </w:r>
      <w:r w:rsidR="00000000">
        <w:t>综合距离经指数衰减转换为0-100%的相似度分数。预测时选取相似度最高的3个历史日，按其相似度加权平均24小时负荷曲线。关键约束：目标日为雨天时，候选日也必须为雨天，确保晴雨模式不混用。</w:t>
      </w:r>
    </w:p>
    <w:p w14:paraId="0A51EE04" w14:textId="77777777" w:rsidR="00753041" w:rsidRDefault="00000000">
      <w:pPr>
        <w:spacing w:after="120"/>
      </w:pPr>
      <w:r>
        <w:t>该方法的局限在于：极端天气下候选池缩小（暴雨日最高相似度从晴天95%降至82%），且无法捕捉污水处理厂的长期产能变化趋势。</w:t>
      </w:r>
    </w:p>
    <w:p w14:paraId="618A9D56" w14:textId="3BFD32DB" w:rsidR="001F34F6" w:rsidRDefault="001F34F6" w:rsidP="001F34F6">
      <w:pPr>
        <w:spacing w:after="1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C711FE6" wp14:editId="274C461D">
            <wp:extent cx="4064000" cy="4007718"/>
            <wp:effectExtent l="0" t="0" r="0" b="0"/>
            <wp:docPr id="1734315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520" cy="401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4BE5D" w14:textId="77777777" w:rsidR="00753041" w:rsidRDefault="00000000">
      <w:pPr>
        <w:pStyle w:val="2"/>
        <w:spacing w:before="300" w:after="150"/>
        <w:rPr>
          <w:rFonts w:hint="eastAsia"/>
          <w:color w:val="auto"/>
        </w:rPr>
      </w:pPr>
      <w:r>
        <w:rPr>
          <w:b/>
          <w:bCs/>
          <w:color w:val="auto"/>
        </w:rPr>
        <w:t>4.2 Holt-Winters + KNN模板匹配（V2）</w:t>
      </w:r>
    </w:p>
    <w:p w14:paraId="10A79E06" w14:textId="77777777" w:rsidR="00753041" w:rsidRDefault="00000000">
      <w:pPr>
        <w:spacing w:after="120"/>
        <w:rPr>
          <w:rFonts w:hint="eastAsia"/>
        </w:rPr>
      </w:pPr>
      <w:r>
        <w:t>V2方案采用两阶段解耦策略。第一阶段：预测每日总用电量。使用自适应窗口的Holt-Winters模型（含阻尼趋势、7天季节性周期、均值回归），从14/21/28/42/56天五个候选窗口中自动选择6月验证MAE最低的窗口。均值回归机制（强度0.0-0.6自动调优）防止短期趋势外推过度。周一至周日分别计算去均值化系数，对预测结果逐日修正。</w:t>
      </w:r>
    </w:p>
    <w:p w14:paraId="0966146A" w14:textId="77777777" w:rsidR="00753041" w:rsidRDefault="00000000">
      <w:pPr>
        <w:spacing w:after="120"/>
        <w:rPr>
          <w:rFonts w:hint="eastAsia"/>
        </w:rPr>
      </w:pPr>
      <w:r>
        <w:t>第二阶段：将日总量分配到24小时。在历史模板库中用KNN查找日总量最接近的5天（仅在同工作日/周末类型内搜索），取归一化负荷曲线的距离加权平均作为逐时分配比例。</w:t>
      </w:r>
    </w:p>
    <w:p w14:paraId="2C29DDE2" w14:textId="77777777" w:rsidR="00753041" w:rsidRDefault="00000000">
      <w:pPr>
        <w:spacing w:after="120"/>
      </w:pPr>
      <w:r>
        <w:t>7月实际数据验证结果：A公司逐时MAE = 0.46 kW，日总MAPE = 9.08%。但午间时段（10-15h）MAE显著高于其他时段（比值约1.5-2.0倍）。根因诊断：A公司存在光伏自发自用，午间光伏出力降低了电网净负荷，但V2模型未纳入光伏数据，导致午间预测系统性偏高。这一发现直接推动了V3方案引入光伏特征。</w:t>
      </w:r>
    </w:p>
    <w:p w14:paraId="755609ED" w14:textId="54E0B84E" w:rsidR="002A3293" w:rsidRDefault="002A3293" w:rsidP="002A3293">
      <w:pPr>
        <w:spacing w:after="1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BFFFB42" wp14:editId="47C2A9C0">
            <wp:extent cx="5697991" cy="2950633"/>
            <wp:effectExtent l="0" t="0" r="0" b="2540"/>
            <wp:docPr id="8130239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462" cy="29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1E37E" w14:textId="77777777" w:rsidR="00753041" w:rsidRDefault="00000000">
      <w:pPr>
        <w:pStyle w:val="2"/>
        <w:spacing w:before="300" w:after="150"/>
        <w:rPr>
          <w:rFonts w:hint="eastAsia"/>
          <w:color w:val="auto"/>
        </w:rPr>
      </w:pPr>
      <w:r>
        <w:rPr>
          <w:b/>
          <w:bCs/>
          <w:color w:val="auto"/>
        </w:rPr>
        <w:t>4.3 LightGBM（当前主力）</w:t>
      </w:r>
    </w:p>
    <w:p w14:paraId="5DF1420C" w14:textId="77777777" w:rsidR="00753041" w:rsidRDefault="00000000">
      <w:pPr>
        <w:spacing w:after="120"/>
        <w:rPr>
          <w:rFonts w:hint="eastAsia"/>
        </w:rPr>
      </w:pPr>
      <w:r>
        <w:t>选择LightGBM作为当前主力模型的原因有三。第一，训练快、无需GPU、在小数据集（10,944条）上比深度学习方法更稳定，不易过拟合。第二，天然处理特征交互——高温、高湿、强辐射的叠加效应对空调用电的影响是非线性的，树模型的分裂机制天然捕捉这类交互。第三，特征重要性（Gain/Split）天然可解释，能明确告诉评审'哪些因子在驱动预测'，这是比赛看重的科学性体现。</w:t>
      </w:r>
    </w:p>
    <w:p w14:paraId="0B7FA812" w14:textId="77777777" w:rsidR="00753041" w:rsidRDefault="00000000">
      <w:pPr>
        <w:spacing w:after="120"/>
      </w:pPr>
      <w:r>
        <w:t>入模特征分为五类。负荷滞后特征：上一小时负荷（lag-1h，惯性最强）、昨日同期负荷（lag-24h，日周期）、上周同期负荷（lag-168h，周周期）。光伏特征：当前光伏出力功率、昨日同期光伏出力（lag-24h）、日总辐射。气象特征：2m气温、露点温度、降水量、云覆盖率、风速、地表气压。时间编码：小时/星期/月份的正弦余弦编码（sin和cos各一维，共6维）。日历特征：是否周末（布尔值）。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t>精度结果远超预期。测试集上MAE = 0.81 kW，RMSE = 1.14 kW，MAPE = 4.22%（目标为&lt;15%），R² = 0.933（目标为&gt;0.85）。特征重要性排名前五：lag-1h（惯性最强）、lag-24h（日周期）、hour_sin（小时周期）、hour_cos（小时周期）、lag-168h（周周期）。这印证了负荷预测的核心规律——近期历史负荷的惯性是预测的最强信号，其次才是时间周期性和气象因子。</w:t>
      </w:r>
    </w:p>
    <w:p w14:paraId="7602FDFB" w14:textId="4C5E05F4" w:rsidR="002A3293" w:rsidRDefault="002A3293">
      <w:pPr>
        <w:spacing w:after="1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840C95E" wp14:editId="14742BD8">
            <wp:extent cx="5731510" cy="3780155"/>
            <wp:effectExtent l="0" t="0" r="2540" b="0"/>
            <wp:docPr id="177941974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F689F" w14:textId="77777777" w:rsidR="00753041" w:rsidRDefault="00000000">
      <w:pPr>
        <w:pStyle w:val="2"/>
        <w:spacing w:before="300" w:after="150"/>
        <w:rPr>
          <w:rFonts w:hint="eastAsia"/>
          <w:color w:val="auto"/>
        </w:rPr>
      </w:pPr>
      <w:r>
        <w:rPr>
          <w:b/>
          <w:bCs/>
          <w:color w:val="auto"/>
        </w:rPr>
        <w:t>4.4 BiLSTM + Attention与TFT（进行中）</w:t>
      </w:r>
    </w:p>
    <w:p w14:paraId="563D6A6F" w14:textId="77777777" w:rsidR="00753041" w:rsidRDefault="00000000">
      <w:pPr>
        <w:spacing w:after="120"/>
        <w:rPr>
          <w:rFonts w:hint="eastAsia"/>
        </w:rPr>
      </w:pPr>
      <w:r>
        <w:t>BiLSTM + Attention是计划中的深度学习升级方案。双向LSTM同时捕捉历史和未来的时序依赖（对24h预测窗口，预测点前后的两侧信息都有价值）；自注意力机制让模型自动学习历史序列中哪些时刻对预测最重要，注意力权重可视化也是评审看重的可解释性亮点。TFT（Temporal Fusion Transformer）作为创新加分项，其变量选择网络可自动识别重要特征，分位数输出可提供预测不确定性区间。</w:t>
      </w:r>
    </w:p>
    <w:p w14:paraId="0D2919E4" w14:textId="77777777" w:rsidR="00753041" w:rsidRDefault="00000000">
      <w:pPr>
        <w:spacing w:after="120"/>
      </w:pPr>
      <w:r>
        <w:t>当前状态：BiLSTM首轮训练存在归一化层反算问题（MAPE = 43%，明显异常），正在修复中。LightGBM作为当前主力方案已全面达到验收标准，BiLSTM的目标是在此基础上进一步降低MAE并实现注意力可解释性。</w:t>
      </w:r>
    </w:p>
    <w:p w14:paraId="57649F09" w14:textId="1CBA2B33" w:rsidR="002A3293" w:rsidRDefault="002A3293" w:rsidP="002A3293">
      <w:pPr>
        <w:spacing w:after="1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8A31EE2" wp14:editId="7678D444">
            <wp:extent cx="2688343" cy="5719233"/>
            <wp:effectExtent l="0" t="0" r="0" b="0"/>
            <wp:docPr id="185715800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434" cy="5734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2F313" w14:textId="77777777" w:rsidR="00753041" w:rsidRDefault="00000000">
      <w:pPr>
        <w:pStyle w:val="1"/>
        <w:spacing w:before="400" w:after="200"/>
        <w:rPr>
          <w:rFonts w:hint="eastAsia"/>
          <w:color w:val="auto"/>
        </w:rPr>
      </w:pPr>
      <w:r>
        <w:rPr>
          <w:b/>
          <w:bCs/>
          <w:color w:val="auto"/>
        </w:rPr>
        <w:t>五、模型评估与对比</w:t>
      </w:r>
    </w:p>
    <w:p w14:paraId="43C42965" w14:textId="1F5FE373" w:rsidR="00753041" w:rsidRPr="004C4D0D" w:rsidRDefault="00000000" w:rsidP="004C4D0D">
      <w:pPr>
        <w:pStyle w:val="2"/>
        <w:spacing w:before="300" w:after="150"/>
        <w:rPr>
          <w:rFonts w:hint="eastAsia"/>
          <w:b/>
          <w:bCs/>
        </w:rPr>
      </w:pPr>
      <w:r>
        <w:rPr>
          <w:b/>
          <w:bCs/>
          <w:color w:val="auto"/>
        </w:rPr>
        <w:t>5.1</w:t>
      </w:r>
      <w:r>
        <w:rPr>
          <w:rFonts w:hint="eastAsia"/>
          <w:b/>
          <w:bCs/>
          <w:color w:val="auto"/>
        </w:rPr>
        <w:t xml:space="preserve"> 评估指标</w:t>
      </w:r>
      <w:r w:rsidR="004C4D0D">
        <w:rPr>
          <w:b/>
          <w:bCs/>
          <w:color w:val="auto"/>
        </w:rPr>
        <w:br/>
      </w:r>
      <w:r w:rsidR="004C4D0D" w:rsidRPr="004C4D0D">
        <w:rPr>
          <w:rFonts w:hint="eastAsia"/>
          <w:b/>
          <w:bCs/>
          <w:color w:val="auto"/>
          <w:sz w:val="24"/>
          <w:szCs w:val="21"/>
        </w:rPr>
        <w:t>决定系数（R</w:t>
      </w:r>
      <w:r w:rsidR="004C4D0D" w:rsidRPr="004C4D0D">
        <w:rPr>
          <w:rFonts w:hint="eastAsia"/>
          <w:b/>
          <w:bCs/>
          <w:color w:val="auto"/>
          <w:sz w:val="24"/>
          <w:szCs w:val="21"/>
          <w:vertAlign w:val="superscript"/>
        </w:rPr>
        <w:t>2</w:t>
      </w:r>
      <w:r w:rsidR="004C4D0D" w:rsidRPr="004C4D0D">
        <w:rPr>
          <w:rFonts w:hint="eastAsia"/>
          <w:b/>
          <w:bCs/>
          <w:color w:val="auto"/>
          <w:sz w:val="24"/>
          <w:szCs w:val="21"/>
        </w:rPr>
        <w:t>）</w:t>
      </w:r>
    </w:p>
    <w:p w14:paraId="5774ED85" w14:textId="52074F8E" w:rsidR="00753041" w:rsidRDefault="00000000">
      <w:pPr>
        <w:spacing w:line="480" w:lineRule="exact"/>
        <w:ind w:firstLineChars="200" w:firstLine="480"/>
        <w:rPr>
          <w:rFonts w:hint="eastAsia"/>
          <w:sz w:val="24"/>
        </w:rPr>
      </w:pPr>
      <w:r>
        <w:rPr>
          <w:rFonts w:ascii="Times New Roman" w:hAnsi="Times New Roman" w:cs="Times New Roman"/>
          <w:sz w:val="24"/>
        </w:rPr>
        <w:t>R</w:t>
      </w:r>
      <w:r>
        <w:rPr>
          <w:rFonts w:ascii="Times New Roman" w:hAnsi="Times New Roman" w:cs="Times New Roman"/>
          <w:sz w:val="24"/>
          <w:vertAlign w:val="superscript"/>
        </w:rPr>
        <w:t>2</w:t>
      </w:r>
      <w:r>
        <w:rPr>
          <w:sz w:val="24"/>
        </w:rPr>
        <w:t>衡量模型预测值对真实</w:t>
      </w:r>
      <w:r w:rsidR="004C4D0D">
        <w:rPr>
          <w:rFonts w:hint="eastAsia"/>
          <w:sz w:val="24"/>
        </w:rPr>
        <w:t>值</w:t>
      </w:r>
      <w:r>
        <w:rPr>
          <w:sz w:val="24"/>
        </w:rPr>
        <w:t>方差的</w:t>
      </w:r>
      <w:r>
        <w:rPr>
          <w:rFonts w:hint="eastAsia"/>
          <w:sz w:val="24"/>
        </w:rPr>
        <w:t>反应程度</w:t>
      </w:r>
      <w:r>
        <w:rPr>
          <w:sz w:val="24"/>
        </w:rPr>
        <w:t>，取值介于</w:t>
      </w:r>
      <w:r>
        <w:rPr>
          <w:position w:val="-10"/>
        </w:rPr>
        <w:object w:dxaOrig="539" w:dyaOrig="272" w14:anchorId="771CCF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pt;height:13.65pt" o:ole="">
            <v:imagedata r:id="rId15" o:title=""/>
          </v:shape>
          <o:OLEObject Type="Embed" ProgID="Equation.DSMT4" ShapeID="_x0000_i1025" DrawAspect="Content" ObjectID="_1848250245" r:id="rId16"/>
        </w:object>
      </w:r>
      <w:r>
        <w:rPr>
          <w:sz w:val="24"/>
        </w:rPr>
        <w:t>之间。该值越接近</w:t>
      </w:r>
      <w:r>
        <w:rPr>
          <w:rFonts w:ascii="Times New Roman" w:hAnsi="Times New Roman" w:hint="eastAsia"/>
          <w:sz w:val="24"/>
        </w:rPr>
        <w:t>1</w:t>
      </w:r>
      <w:r>
        <w:rPr>
          <w:sz w:val="24"/>
        </w:rPr>
        <w:t>，说明总体拟合优度越高。</w:t>
      </w:r>
      <w:r w:rsidR="004C4D0D">
        <w:rPr>
          <w:rFonts w:hint="eastAsia"/>
          <w:sz w:val="24"/>
        </w:rPr>
        <w:t>当前0.933。</w:t>
      </w:r>
      <w:r>
        <w:rPr>
          <w:sz w:val="24"/>
        </w:rPr>
        <w:t>其数学计算公式为：</w:t>
      </w:r>
    </w:p>
    <w:p w14:paraId="3BC8DB63" w14:textId="77777777" w:rsidR="00753041" w:rsidRPr="004C4D0D" w:rsidRDefault="00000000" w:rsidP="004C4D0D">
      <w:pPr>
        <w:jc w:val="center"/>
        <w:rPr>
          <w:rFonts w:hint="eastAsia"/>
          <w:position w:val="-30"/>
        </w:rPr>
      </w:pPr>
      <w:r w:rsidRPr="004C4D0D">
        <w:rPr>
          <w:position w:val="-30"/>
        </w:rPr>
        <w:object w:dxaOrig="2055" w:dyaOrig="1364" w14:anchorId="2742933B">
          <v:shape id="_x0000_i1032" type="#_x0000_t75" style="width:102.65pt;height:68.35pt" o:ole="">
            <v:imagedata r:id="rId17" o:title=""/>
          </v:shape>
          <o:OLEObject Type="Embed" ProgID="Equation.DSMT4" ShapeID="_x0000_i1032" DrawAspect="Content" ObjectID="_1848250246" r:id="rId18"/>
        </w:object>
      </w:r>
      <w:r w:rsidRPr="004C4D0D">
        <w:rPr>
          <w:position w:val="-30"/>
        </w:rPr>
        <w:tab/>
      </w:r>
    </w:p>
    <w:p w14:paraId="2395372A" w14:textId="77777777" w:rsidR="00753041" w:rsidRDefault="00000000">
      <w:pPr>
        <w:spacing w:line="480" w:lineRule="exact"/>
        <w:rPr>
          <w:rFonts w:hint="eastAsia"/>
          <w:b/>
          <w:bCs/>
          <w:sz w:val="24"/>
        </w:rPr>
      </w:pPr>
      <w:bookmarkStart w:id="0" w:name="_Toc228217226"/>
      <w:bookmarkStart w:id="1" w:name="_Toc228201689"/>
      <w:bookmarkStart w:id="2" w:name="_Toc228309834"/>
      <w:bookmarkStart w:id="3" w:name="_Toc228365369"/>
      <w:r>
        <w:rPr>
          <w:b/>
          <w:bCs/>
          <w:sz w:val="24"/>
        </w:rPr>
        <w:lastRenderedPageBreak/>
        <w:t>均方根误差(</w:t>
      </w:r>
      <w:r>
        <w:rPr>
          <w:rFonts w:ascii="Times New Roman" w:hAnsi="Times New Roman"/>
          <w:b/>
          <w:bCs/>
          <w:sz w:val="24"/>
        </w:rPr>
        <w:t>RMSE</w:t>
      </w:r>
      <w:r>
        <w:rPr>
          <w:b/>
          <w:bCs/>
          <w:sz w:val="24"/>
        </w:rPr>
        <w:t>)</w:t>
      </w:r>
      <w:bookmarkEnd w:id="0"/>
      <w:bookmarkEnd w:id="1"/>
      <w:bookmarkEnd w:id="2"/>
      <w:bookmarkEnd w:id="3"/>
    </w:p>
    <w:p w14:paraId="2E7203B3" w14:textId="77777777" w:rsidR="00753041" w:rsidRDefault="00000000">
      <w:pPr>
        <w:spacing w:line="480" w:lineRule="exact"/>
        <w:ind w:firstLineChars="200" w:firstLine="480"/>
        <w:rPr>
          <w:rFonts w:hint="eastAsia"/>
          <w:sz w:val="24"/>
        </w:rPr>
      </w:pPr>
      <w:r>
        <w:rPr>
          <w:rFonts w:ascii="Times New Roman" w:hAnsi="Times New Roman" w:hint="eastAsia"/>
          <w:sz w:val="24"/>
        </w:rPr>
        <w:t>RMSE</w:t>
      </w:r>
      <w:r>
        <w:rPr>
          <w:sz w:val="24"/>
        </w:rPr>
        <w:t>衡量预测值与真实值之间偏差，单位与原数据保持一致。</w:t>
      </w:r>
      <w:r>
        <w:rPr>
          <w:rFonts w:hint="eastAsia"/>
          <w:sz w:val="24"/>
        </w:rPr>
        <w:t>因</w:t>
      </w:r>
      <w:r>
        <w:rPr>
          <w:sz w:val="24"/>
        </w:rPr>
        <w:t>在计算过程中进行平方操作，</w:t>
      </w:r>
      <w:r>
        <w:rPr>
          <w:rFonts w:ascii="Times New Roman" w:hAnsi="Times New Roman" w:hint="eastAsia"/>
          <w:sz w:val="24"/>
        </w:rPr>
        <w:t>RMSE</w:t>
      </w:r>
      <w:r>
        <w:rPr>
          <w:sz w:val="24"/>
        </w:rPr>
        <w:t>对局部出现的显著估产偏差</w:t>
      </w:r>
      <w:r>
        <w:rPr>
          <w:rFonts w:hint="eastAsia"/>
          <w:sz w:val="24"/>
        </w:rPr>
        <w:t>较为</w:t>
      </w:r>
      <w:r>
        <w:rPr>
          <w:sz w:val="24"/>
        </w:rPr>
        <w:t>敏感。是反映模型稳定性指标：</w:t>
      </w:r>
    </w:p>
    <w:p w14:paraId="6704C1C4" w14:textId="77777777" w:rsidR="00753041" w:rsidRDefault="00000000">
      <w:pPr>
        <w:jc w:val="center"/>
        <w:rPr>
          <w:rFonts w:hint="eastAsia"/>
          <w:position w:val="-30"/>
        </w:rPr>
      </w:pPr>
      <w:r>
        <w:rPr>
          <w:position w:val="-30"/>
        </w:rPr>
        <w:object w:dxaOrig="2470" w:dyaOrig="749" w14:anchorId="4017167A">
          <v:shape id="_x0000_i1027" type="#_x0000_t75" style="width:123.65pt;height:37.35pt" o:ole="">
            <v:imagedata r:id="rId19" o:title=""/>
          </v:shape>
          <o:OLEObject Type="Embed" ProgID="Equation.DSMT4" ShapeID="_x0000_i1027" DrawAspect="Content" ObjectID="_1848250247" r:id="rId20"/>
        </w:object>
      </w:r>
    </w:p>
    <w:p w14:paraId="3C8A70F1" w14:textId="77777777" w:rsidR="00753041" w:rsidRDefault="00000000">
      <w:pPr>
        <w:spacing w:line="480" w:lineRule="exact"/>
        <w:rPr>
          <w:rFonts w:hint="eastAsia"/>
          <w:b/>
          <w:bCs/>
          <w:sz w:val="24"/>
        </w:rPr>
      </w:pPr>
      <w:bookmarkStart w:id="4" w:name="_Toc228309835"/>
      <w:bookmarkStart w:id="5" w:name="_Toc228217227"/>
      <w:bookmarkStart w:id="6" w:name="_Toc228201690"/>
      <w:bookmarkStart w:id="7" w:name="_Toc228365370"/>
      <w:r>
        <w:rPr>
          <w:b/>
          <w:bCs/>
          <w:sz w:val="24"/>
        </w:rPr>
        <w:t>平均绝对百分比误差(</w:t>
      </w:r>
      <w:r>
        <w:rPr>
          <w:rFonts w:ascii="Times New Roman" w:hAnsi="Times New Roman"/>
          <w:b/>
          <w:bCs/>
          <w:sz w:val="24"/>
        </w:rPr>
        <w:t>MAPE</w:t>
      </w:r>
      <w:r>
        <w:rPr>
          <w:b/>
          <w:bCs/>
          <w:sz w:val="24"/>
        </w:rPr>
        <w:t>)</w:t>
      </w:r>
      <w:bookmarkEnd w:id="4"/>
      <w:bookmarkEnd w:id="5"/>
      <w:bookmarkEnd w:id="6"/>
      <w:bookmarkEnd w:id="7"/>
    </w:p>
    <w:p w14:paraId="261BA73E" w14:textId="77777777" w:rsidR="00753041" w:rsidRDefault="00000000">
      <w:pPr>
        <w:spacing w:line="480" w:lineRule="exact"/>
        <w:ind w:firstLineChars="200" w:firstLine="480"/>
        <w:rPr>
          <w:rFonts w:hint="eastAsia"/>
          <w:sz w:val="24"/>
        </w:rPr>
      </w:pPr>
      <w:r>
        <w:rPr>
          <w:rFonts w:ascii="Times New Roman" w:hAnsi="Times New Roman" w:hint="eastAsia"/>
          <w:sz w:val="24"/>
        </w:rPr>
        <w:t>MAPE</w:t>
      </w:r>
      <w:r>
        <w:rPr>
          <w:sz w:val="24"/>
        </w:rPr>
        <w:t>通过计算预测误差占真实值的相对百分比，消除产量数值影响，反映模型估产在决策中相对可靠程度。在国家级宏观农业估产与粮食安全评估任务中，</w:t>
      </w:r>
      <w:r>
        <w:rPr>
          <w:rFonts w:ascii="Times New Roman" w:hAnsi="Times New Roman" w:hint="eastAsia"/>
          <w:sz w:val="24"/>
        </w:rPr>
        <w:t>MAPE</w:t>
      </w:r>
      <w:r>
        <w:rPr>
          <w:sz w:val="24"/>
        </w:rPr>
        <w:t>是具</w:t>
      </w:r>
      <w:r>
        <w:rPr>
          <w:rFonts w:hint="eastAsia"/>
          <w:sz w:val="24"/>
        </w:rPr>
        <w:t>有</w:t>
      </w:r>
      <w:r>
        <w:rPr>
          <w:sz w:val="24"/>
        </w:rPr>
        <w:t>直观参考价值指标</w:t>
      </w:r>
      <w:r>
        <w:rPr>
          <w:rFonts w:hint="eastAsia"/>
          <w:sz w:val="24"/>
        </w:rPr>
        <w:t>:</w:t>
      </w:r>
    </w:p>
    <w:p w14:paraId="0DEBB943" w14:textId="77777777" w:rsidR="00753041" w:rsidRDefault="00000000">
      <w:pPr>
        <w:jc w:val="center"/>
        <w:rPr>
          <w:rFonts w:hint="eastAsia"/>
          <w:position w:val="-30"/>
        </w:rPr>
      </w:pPr>
      <w:r>
        <w:rPr>
          <w:position w:val="-32"/>
        </w:rPr>
        <w:object w:dxaOrig="2608" w:dyaOrig="749" w14:anchorId="50C60A34">
          <v:shape id="_x0000_i1028" type="#_x0000_t75" style="width:130.35pt;height:37.35pt" o:ole="">
            <v:imagedata r:id="rId21" o:title=""/>
          </v:shape>
          <o:OLEObject Type="Embed" ProgID="Equation.DSMT4" ShapeID="_x0000_i1028" DrawAspect="Content" ObjectID="_1848250248" r:id="rId22"/>
        </w:object>
      </w:r>
    </w:p>
    <w:p w14:paraId="272EFA9C" w14:textId="5A9ACD55" w:rsidR="00753041" w:rsidRDefault="00000000">
      <w:pPr>
        <w:spacing w:after="120"/>
        <w:rPr>
          <w:rFonts w:hint="eastAsia"/>
        </w:rPr>
      </w:pPr>
      <w:r>
        <w:t>采用</w:t>
      </w:r>
      <w:r w:rsidR="004C4D0D">
        <w:rPr>
          <w:rFonts w:hint="eastAsia"/>
        </w:rPr>
        <w:t>三</w:t>
      </w:r>
      <w:r>
        <w:t>项标准指标。RMSE（均方根误差）：对大误差更敏感，惩罚极端预测偏差，当前1.14 kW。MAPE（平均绝对百分比误差）：跨量级可比，消除量纲影响，当前4.22%。R²（决定系数）：衡量模型对负荷方差的解释比例，越接近1越好，当前0.933。</w:t>
      </w:r>
    </w:p>
    <w:p w14:paraId="50510026" w14:textId="77777777" w:rsidR="00753041" w:rsidRDefault="00000000">
      <w:pPr>
        <w:pStyle w:val="2"/>
        <w:spacing w:before="300" w:after="150"/>
        <w:rPr>
          <w:rFonts w:hint="eastAsia"/>
          <w:color w:val="auto"/>
        </w:rPr>
      </w:pPr>
      <w:r>
        <w:rPr>
          <w:b/>
          <w:bCs/>
          <w:color w:val="auto"/>
        </w:rPr>
        <w:t>5.2 数据划分</w:t>
      </w:r>
    </w:p>
    <w:p w14:paraId="4E7F849A" w14:textId="77777777" w:rsidR="00753041" w:rsidRDefault="00000000">
      <w:pPr>
        <w:spacing w:after="120"/>
        <w:rPr>
          <w:rFonts w:hint="eastAsia"/>
        </w:rPr>
      </w:pPr>
      <w:r>
        <w:t>采用时间序列划分（非随机划分），确保训练数据的时间始终在验证/测试数据之前，杜绝数据泄露。训练集：2025年4月至2026年1月（约10个月），用于模型参数学习。验证集：2026年2月至3月（2个月），用于超参数调优和早停判断。测试集：2026年4月（1个月），仅在最终评估时使用一次，不与训练过程有任何信息交换。</w:t>
      </w:r>
    </w:p>
    <w:p w14:paraId="0D0ED6C6" w14:textId="77777777" w:rsidR="00753041" w:rsidRDefault="00000000">
      <w:pPr>
        <w:pStyle w:val="2"/>
        <w:spacing w:before="300" w:after="150"/>
        <w:rPr>
          <w:rFonts w:hint="eastAsia"/>
          <w:color w:val="auto"/>
        </w:rPr>
      </w:pPr>
      <w:r>
        <w:rPr>
          <w:b/>
          <w:bCs/>
          <w:color w:val="auto"/>
        </w:rPr>
        <w:t>5.3 模型对比</w:t>
      </w:r>
    </w:p>
    <w:p w14:paraId="31BB6AF0" w14:textId="77777777" w:rsidR="00291371" w:rsidRDefault="00000000">
      <w:pPr>
        <w:spacing w:after="120"/>
      </w:pPr>
      <w:r>
        <w:t>四个模型在当前数据上的表现对比如下。</w:t>
      </w:r>
    </w:p>
    <w:p w14:paraId="37D6A0A2" w14:textId="06341070" w:rsidR="00291371" w:rsidRDefault="00291371" w:rsidP="00DF53EE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1667584E" wp14:editId="3944A887">
            <wp:extent cx="5730839" cy="4103994"/>
            <wp:effectExtent l="0" t="0" r="3810" b="0"/>
            <wp:docPr id="1472486033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86033" name="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292" cy="413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68C1" w14:textId="0C77CD10" w:rsidR="00291371" w:rsidRDefault="00291371">
      <w:pPr>
        <w:spacing w:after="120"/>
      </w:pPr>
      <w:r w:rsidRPr="00291371">
        <w:t>四个模型在 2026 年 4 月测试集上的精度对比如下,LightGBM 以 MAPE 4.22%全面领先,兼具训练快、可解释的优势,是最终采用的主力方案。</w:t>
      </w:r>
    </w:p>
    <w:p w14:paraId="5F7052FF" w14:textId="65C4A366" w:rsidR="00291371" w:rsidRDefault="00291371">
      <w:pPr>
        <w:spacing w:after="120"/>
        <w:rPr>
          <w:rFonts w:hint="eastAsia"/>
        </w:rPr>
      </w:pPr>
      <w:r w:rsidRPr="00291371">
        <w:t>四个模型在 2026 年 4 月测试集上的精度对比如下。相似日加权法（无参数基线）：逐时 MAPE 10.72%、MAE 2.90kW，作为精度下界参照。Holt-Winters + KNN（V2）：A 公司逐时 MAE 0.46 kW、日总 MAPE9.08%，已完成验证，但午间偏差明显（需引入光伏特征修正）。LightGBM（当前主力）：逐时 MAE 0.81 kW、MAPE 4.22%、RMSE 1.14 kW、R²进行精度对标。TFT 为选做加分项，待 BiLSTM 稳定后实施。</w:t>
      </w:r>
    </w:p>
    <w:p w14:paraId="57B59EB8" w14:textId="0D0EA0BE" w:rsidR="00753041" w:rsidRDefault="00000000" w:rsidP="00291371">
      <w:pPr>
        <w:spacing w:after="120"/>
        <w:rPr>
          <w:rFonts w:hint="eastAsia"/>
        </w:rPr>
      </w:pPr>
      <w:r>
        <w:rPr>
          <w:b/>
          <w:bCs/>
          <w:sz w:val="32"/>
          <w:szCs w:val="32"/>
        </w:rPr>
        <w:t>六、预测输出与应用</w:t>
      </w:r>
    </w:p>
    <w:p w14:paraId="6D96D78D" w14:textId="77777777" w:rsidR="00753041" w:rsidRDefault="00000000">
      <w:pPr>
        <w:pStyle w:val="2"/>
        <w:spacing w:before="300" w:after="150"/>
        <w:rPr>
          <w:rFonts w:hint="eastAsia"/>
          <w:color w:val="auto"/>
        </w:rPr>
      </w:pPr>
      <w:r>
        <w:rPr>
          <w:b/>
          <w:bCs/>
          <w:color w:val="auto"/>
        </w:rPr>
        <w:t>6.1 输出格式</w:t>
      </w:r>
    </w:p>
    <w:p w14:paraId="4ED82CD7" w14:textId="77777777" w:rsidR="00753041" w:rsidRDefault="00000000">
      <w:pPr>
        <w:spacing w:after="120"/>
        <w:rPr>
          <w:rFonts w:hint="eastAsia"/>
        </w:rPr>
      </w:pPr>
      <w:r>
        <w:t>预测模块输出一个24维向量，代表未来24小时逐时负荷预测值（kW）。附带预测置信区间（±1.28σ，对应80%置信度）。午间时段（10-15h）标注较高不确定性——因为光伏出力波动在该时段最大，净负荷的预测难度相应增加。</w:t>
      </w:r>
    </w:p>
    <w:p w14:paraId="563D0E3E" w14:textId="77777777" w:rsidR="00753041" w:rsidRDefault="00000000">
      <w:pPr>
        <w:pStyle w:val="2"/>
        <w:spacing w:before="300" w:after="150"/>
        <w:rPr>
          <w:rFonts w:hint="eastAsia"/>
          <w:color w:val="auto"/>
        </w:rPr>
      </w:pPr>
      <w:r>
        <w:rPr>
          <w:b/>
          <w:bCs/>
          <w:color w:val="auto"/>
        </w:rPr>
        <w:t>6.2 下游接口</w:t>
      </w:r>
    </w:p>
    <w:p w14:paraId="7F584E11" w14:textId="77777777" w:rsidR="00753041" w:rsidRDefault="00000000">
      <w:pPr>
        <w:spacing w:after="120"/>
        <w:rPr>
          <w:rFonts w:hint="eastAsia"/>
        </w:rPr>
      </w:pPr>
      <w:r>
        <w:t>预测结果以List[Dict]格式传递给模块二（优化调度），每条记录包含datetime、load_kw、lower_bound、upper_bound四个字段。调度模块按小时读取预测值，结合广东省分时电价（峰1.2元/平0.7元/谷0.3元/kWh）和逐时碳排放因子，进行24小时滚动优化决策。更新频率为每</w:t>
      </w:r>
      <w:r>
        <w:lastRenderedPageBreak/>
        <w:t>日一次（每天早晨生成当天及未来24小时预测）。若预测模块故障，调度模块自动降级为前7天同期均值作为默认预测值，确保系统不中断。</w:t>
      </w:r>
    </w:p>
    <w:p w14:paraId="79B7D171" w14:textId="77777777" w:rsidR="00753041" w:rsidRDefault="00000000">
      <w:pPr>
        <w:pStyle w:val="2"/>
        <w:spacing w:before="300" w:after="150"/>
        <w:rPr>
          <w:rFonts w:hint="eastAsia"/>
          <w:color w:val="auto"/>
        </w:rPr>
      </w:pPr>
      <w:r>
        <w:rPr>
          <w:b/>
          <w:bCs/>
          <w:color w:val="auto"/>
        </w:rPr>
        <w:t>6.3 不确定性管理</w:t>
      </w:r>
    </w:p>
    <w:p w14:paraId="1BEAD237" w14:textId="77777777" w:rsidR="00753041" w:rsidRDefault="00000000">
      <w:pPr>
        <w:spacing w:after="120"/>
        <w:rPr>
          <w:rFonts w:hint="eastAsia"/>
        </w:rPr>
      </w:pPr>
      <w:r>
        <w:t>三类场景的不确定性管理策略。午间时段：光伏出力波动使预测置信区间扩大，调度模块应对午间预测值给予更多安全裕度，避免过度依赖午间光伏期望值。极端天气：暴雨或台风日，历史相似日匹配效果下降，调度策略应偏向保守放电，优先保障污水厂关键工艺负荷不间断。置信区间利用：调度优化可基于预测上界规划最大购电量（确保不超需量费阈值），基于预测下界规划最小储能放电量（确保SOC不过放）。</w:t>
      </w:r>
    </w:p>
    <w:p w14:paraId="1A8F4CB1" w14:textId="77777777" w:rsidR="00753041" w:rsidRDefault="00000000">
      <w:pPr>
        <w:pStyle w:val="1"/>
        <w:spacing w:before="400" w:after="200"/>
        <w:rPr>
          <w:rFonts w:hint="eastAsia"/>
          <w:color w:val="auto"/>
        </w:rPr>
      </w:pPr>
      <w:r>
        <w:rPr>
          <w:b/>
          <w:bCs/>
          <w:color w:val="auto"/>
        </w:rPr>
        <w:t>七、局限与改进方向</w:t>
      </w:r>
    </w:p>
    <w:p w14:paraId="067DEB6F" w14:textId="77777777" w:rsidR="00753041" w:rsidRDefault="00000000">
      <w:pPr>
        <w:pStyle w:val="2"/>
        <w:spacing w:before="300" w:after="150"/>
        <w:rPr>
          <w:rFonts w:hint="eastAsia"/>
          <w:color w:val="auto"/>
        </w:rPr>
      </w:pPr>
      <w:r>
        <w:rPr>
          <w:b/>
          <w:bCs/>
          <w:color w:val="auto"/>
        </w:rPr>
        <w:t>7.1 已知局限</w:t>
      </w:r>
    </w:p>
    <w:p w14:paraId="27BDBF97" w14:textId="7CF65BED" w:rsidR="00753041" w:rsidRDefault="00000000">
      <w:pPr>
        <w:spacing w:after="120"/>
        <w:rPr>
          <w:rFonts w:hint="eastAsia"/>
        </w:rPr>
      </w:pPr>
      <w:r>
        <w:t>当前方案存在五个已知局限。</w:t>
      </w:r>
      <w:r w:rsidR="004C4D0D">
        <w:rPr>
          <w:rFonts w:hint="eastAsia"/>
        </w:rPr>
        <w:t>首先</w:t>
      </w:r>
      <w:r>
        <w:t>，</w:t>
      </w:r>
      <w:r w:rsidR="00A91E14" w:rsidRPr="00A91E14">
        <w:t>练数据仅覆盖单个完整年度周期（2025年4月至2026年4月），缺少连续多年的年际变化，对极端年份与气候异常的泛化能力有限</w:t>
      </w:r>
      <w:r w:rsidR="00A91E14">
        <w:rPr>
          <w:rFonts w:hint="eastAsia"/>
        </w:rPr>
        <w:t>。</w:t>
      </w:r>
      <w:r w:rsidR="004C4D0D">
        <w:rPr>
          <w:rFonts w:hint="eastAsia"/>
        </w:rPr>
        <w:t>其次</w:t>
      </w:r>
      <w:r>
        <w:t>，BiLSTM首轮训练未达标（MAPE 43%），主力深度学习方案尚未就绪，当前依赖单一LightGBM模型。第三，光伏和储能数据的时间范围不完全对齐负荷数据，合并后有效样本减少约10%。第四，极端天气样本极度稀缺（暴雨仅5天、酷热仅8天），模型在这些场景下的精度缺乏充分验证。第五，三家公司独立建模，未利用它们之间的空间相关性</w:t>
      </w:r>
      <w:r w:rsidR="004C4D0D">
        <w:rPr>
          <w:rFonts w:hint="eastAsia"/>
        </w:rPr>
        <w:t>。（</w:t>
      </w:r>
      <w:r>
        <w:t>三家污水厂地理位置相近、气象条件相似，跨公司的信息共享可能提升预测鲁棒性</w:t>
      </w:r>
      <w:r w:rsidR="004C4D0D">
        <w:rPr>
          <w:rFonts w:hint="eastAsia"/>
        </w:rPr>
        <w:t>）</w:t>
      </w:r>
    </w:p>
    <w:p w14:paraId="356BDB86" w14:textId="77777777" w:rsidR="00753041" w:rsidRDefault="00000000">
      <w:pPr>
        <w:pStyle w:val="2"/>
        <w:spacing w:before="300" w:after="150"/>
        <w:rPr>
          <w:rFonts w:hint="eastAsia"/>
          <w:color w:val="auto"/>
        </w:rPr>
      </w:pPr>
      <w:r>
        <w:rPr>
          <w:b/>
          <w:bCs/>
          <w:color w:val="auto"/>
        </w:rPr>
        <w:t>7.2 改进路线</w:t>
      </w:r>
    </w:p>
    <w:p w14:paraId="05D16B17" w14:textId="77777777" w:rsidR="00753041" w:rsidRDefault="00000000">
      <w:pPr>
        <w:spacing w:after="120"/>
        <w:rPr>
          <w:rFonts w:hint="eastAsia"/>
        </w:rPr>
      </w:pPr>
      <w:r>
        <w:t>短期（赛事交付前）的三项优先任务。第一，修复BiLSTM归一化层bug，完成LightGBM与BiLSTM的正式精度对比。第二，将已获取的光伏出力数据和太阳辐射数据作为显式特征纳入LightGBM模型，验证午间时段MAE是否显著下降。第三，补充2025年1-3月历史数据以覆盖冬季模式，以及2026年5-7月数据以扩充测试集。</w:t>
      </w:r>
    </w:p>
    <w:p w14:paraId="4E0608CD" w14:textId="77777777" w:rsidR="00753041" w:rsidRDefault="00000000">
      <w:pPr>
        <w:spacing w:after="120"/>
        <w:rPr>
          <w:rFonts w:hint="eastAsia"/>
        </w:rPr>
      </w:pPr>
      <w:r>
        <w:t>中期（赛后优化）三个方向。多任务学习：一个共享编码器同时预测负荷和光伏发电两个输出头，两个任务的底层特征互相增强。集成学习：相似日、LightGBM、BiLSTM三个模型的预测加权融合，极端天气日自动降低相似日权重，提高树模型和深度学习权重。GAN数据增强：为暴雨、酷热等极端天气日生成合成训练样本，解决小样本问题。</w:t>
      </w:r>
    </w:p>
    <w:p w14:paraId="588C8A32" w14:textId="77777777" w:rsidR="00753041" w:rsidRDefault="00000000">
      <w:pPr>
        <w:spacing w:after="120"/>
        <w:rPr>
          <w:rFonts w:hint="eastAsia"/>
        </w:rPr>
      </w:pPr>
      <w:r>
        <w:t>长期的三条技术路径。Transformer/TFT架构：处理超长时序依赖（季度模式、年模式），同时利用变量选择网络自动识别关键特征。不确定性量化：从点预测升级为概率预测，输出完整预测分布而非单一数值，为调度优化提供完整的风险信息。在线学习：模型部署后随新数据的到达持续更新参数，自动适应污水厂产能变化和季节漂移，避免模型老化。</w:t>
      </w:r>
    </w:p>
    <w:p w14:paraId="229E8552" w14:textId="77777777" w:rsidR="00753041" w:rsidRDefault="00000000">
      <w:pPr>
        <w:pStyle w:val="1"/>
        <w:spacing w:before="400" w:after="200"/>
        <w:rPr>
          <w:rFonts w:hint="eastAsia"/>
          <w:color w:val="auto"/>
        </w:rPr>
      </w:pPr>
      <w:r>
        <w:rPr>
          <w:b/>
          <w:bCs/>
          <w:color w:val="auto"/>
        </w:rPr>
        <w:lastRenderedPageBreak/>
        <w:t>附录</w:t>
      </w:r>
    </w:p>
    <w:p w14:paraId="366D5682" w14:textId="77777777" w:rsidR="00753041" w:rsidRDefault="00000000">
      <w:pPr>
        <w:pStyle w:val="2"/>
        <w:spacing w:before="300" w:after="150"/>
        <w:rPr>
          <w:rFonts w:hint="eastAsia"/>
          <w:color w:val="auto"/>
        </w:rPr>
      </w:pPr>
      <w:r>
        <w:rPr>
          <w:b/>
          <w:bCs/>
          <w:color w:val="auto"/>
        </w:rPr>
        <w:t>A. 数据文件清单</w:t>
      </w:r>
    </w:p>
    <w:p w14:paraId="1B9C8A27" w14:textId="77777777" w:rsidR="00753041" w:rsidRDefault="00000000">
      <w:pPr>
        <w:spacing w:after="120"/>
        <w:rPr>
          <w:rFonts w:hint="eastAsia"/>
        </w:rPr>
      </w:pPr>
      <w:r>
        <w:t>load_hourly_2025-2026.csv：污水厂逐时负荷，395天，训练目标标签。光伏数据.xlsx：8MWp光伏逐时发电，361天，光伏特征与净负荷修正。储能数据.xlsx：0.22MWh储能充放电记录，323天，储能调度建模。全要素天气表.xlsx：575天×7要素气象宽表，气象特征入模。all_data_merged.csv：四类数据对齐合并，10,944条完整记录，模型训练直接输入数据。</w:t>
      </w:r>
    </w:p>
    <w:p w14:paraId="5F6CB43C" w14:textId="77777777" w:rsidR="00753041" w:rsidRDefault="00000000">
      <w:pPr>
        <w:pStyle w:val="2"/>
        <w:spacing w:before="300" w:after="150"/>
        <w:rPr>
          <w:rFonts w:hint="eastAsia"/>
          <w:color w:val="auto"/>
        </w:rPr>
      </w:pPr>
      <w:r>
        <w:rPr>
          <w:b/>
          <w:bCs/>
          <w:color w:val="auto"/>
        </w:rPr>
        <w:t>B. 气象-光伏相关性参考</w:t>
      </w:r>
    </w:p>
    <w:p w14:paraId="684B593B" w14:textId="77777777" w:rsidR="00753041" w:rsidRDefault="00000000">
      <w:pPr>
        <w:spacing w:after="120"/>
        <w:rPr>
          <w:rFonts w:hint="eastAsia"/>
        </w:rPr>
      </w:pPr>
      <w:r>
        <w:t>日总辐射与光伏日发电量的Pearson r = 0.843（极强），是光伏出力绝对主导因子。其他显著相关因子：晴空指数 r = 0.705、日最高温 r = 0.485（随辐射增强而升高，间接相关）、云量 r = -0.410（削弱辐射）、日降水量 r = -0.391（雨天辐射弱）。辐射-发电线性关系：日发电量(kWh) = 696.4 × 日总辐射(MJ/m²) - 666，R² = 0.711。该公式可用于光伏出力快速估算，或作为预测模型中光伏特征缺失时的填补策略。</w:t>
      </w:r>
    </w:p>
    <w:p w14:paraId="2DAB1ACE" w14:textId="77777777" w:rsidR="00753041" w:rsidRDefault="00000000">
      <w:pPr>
        <w:pStyle w:val="2"/>
        <w:spacing w:before="300" w:after="150"/>
        <w:rPr>
          <w:rFonts w:hint="eastAsia"/>
          <w:color w:val="auto"/>
        </w:rPr>
      </w:pPr>
      <w:r>
        <w:rPr>
          <w:b/>
          <w:bCs/>
          <w:color w:val="auto"/>
        </w:rPr>
        <w:t>C. 预测示例：2026年7月15日</w:t>
      </w:r>
    </w:p>
    <w:p w14:paraId="183019AB" w14:textId="77777777" w:rsidR="00753041" w:rsidRDefault="00000000">
      <w:pPr>
        <w:spacing w:after="120"/>
        <w:rPr>
          <w:rFonts w:hint="eastAsia"/>
        </w:rPr>
      </w:pPr>
      <w:r>
        <w:t>以下以2026年7月15日（周三，夏季，晴转多云，日最高温34.2°C，日总辐射18.5 MJ/m²）为例，展示负荷预测的完整计算过程。</w:t>
      </w:r>
    </w:p>
    <w:p w14:paraId="08557DE1" w14:textId="77777777" w:rsidR="00753041" w:rsidRDefault="00000000">
      <w:pPr>
        <w:spacing w:after="120"/>
        <w:rPr>
          <w:rFonts w:hint="eastAsia"/>
        </w:rPr>
      </w:pPr>
      <w:r>
        <w:t>第一步，确定相似日。在历史395天的候选池中，按7因子加权计算相似度。7月15日为夏季工作日，日最高温34.2°C，日最低温26.8°C，降水量0.2mm（无降水等级），日总辐射18.5 MJ/m²。在候选池中筛选同季节（夏季6-8月）、同星期类型（工作日）、同晴雨类型（无降水）的历史日，计算各因子距离后加权求和。最终选出的Top-3相似日为：2025年7月30日（相似度87.5%，当日最高温33.8°C，多云，日总负荷612 kWh）、2025年7月13日（相似度86.1%，最高温34.5°C，晴天，日总负荷598 kWh）、2025年6月2日（相似度85.6%，最高温33.2°C，多云，日总负荷605 kWh）。</w:t>
      </w:r>
    </w:p>
    <w:p w14:paraId="52CAE286" w14:textId="77777777" w:rsidR="00753041" w:rsidRDefault="00000000">
      <w:pPr>
        <w:spacing w:after="120"/>
        <w:rPr>
          <w:rFonts w:hint="eastAsia"/>
        </w:rPr>
      </w:pPr>
      <w:r>
        <w:t>第二步，相似日加权得到日总量基准。三个相似日的日总负荷按相似度加权平均：(612×0.875 + 598×0.861 + 605×0.856) / (0.875+0.861+0.856) = 605.1 kWh。相似日法的日总量预测结果为605 kWh。</w:t>
      </w:r>
    </w:p>
    <w:p w14:paraId="4C611AF3" w14:textId="77777777" w:rsidR="00753041" w:rsidRDefault="00000000">
      <w:pPr>
        <w:spacing w:after="120"/>
        <w:rPr>
          <w:rFonts w:hint="eastAsia"/>
        </w:rPr>
      </w:pPr>
      <w:r>
        <w:t>第三步，LightGBM模型预测逐时负荷。模型输入上一周（7月8日-14日）的逐时负荷序列、光伏出力序列，以及7月15日的天气预报数据（气温、辐射、云量等）和时间特征。模型输出24维向量，代表0时到23时的逐时预测负荷（kW）。</w:t>
      </w:r>
    </w:p>
    <w:p w14:paraId="4453C82D" w14:textId="77777777" w:rsidR="00753041" w:rsidRDefault="00000000">
      <w:pPr>
        <w:spacing w:after="120"/>
        <w:rPr>
          <w:rFonts w:hint="eastAsia"/>
        </w:rPr>
      </w:pPr>
      <w:r>
        <w:t>第四步，光伏修正。7月15日天气预报日总辐射18.5 MJ/m²，代入辐射-发电公式估算光伏出力：696.4 × 18.5 - 666 = 12,217 kWh/天。分到日照时段（6-18时），午间峰值约1,600 kW。但光伏为自发自用，直接降低电网净负荷——LightGBM模型已将光伏出力作为输入特征，自动学习到了这一修正关系，因此输出的负荷预测值为净负荷（即电网需供应的部分）。</w:t>
      </w:r>
    </w:p>
    <w:p w14:paraId="5D332F67" w14:textId="77777777" w:rsidR="00753041" w:rsidRDefault="00000000">
      <w:pPr>
        <w:spacing w:after="120"/>
        <w:rPr>
          <w:rFonts w:hint="eastAsia"/>
        </w:rPr>
      </w:pPr>
      <w:r>
        <w:lastRenderedPageBreak/>
        <w:t>预测结果（节选关键时段）。凌晨4时：18.9 kW（全天低谷，仅基础工艺运行，空调负荷最小）。上午8时：24.7 kW（早班开始，设备启动，负荷爬升）。午间12时：20.1 kW（光伏大发时段，净负荷被光伏显著压低，实际总用电约35 kW但光伏抵扣后电网仅需供20 kW）。下午18时：29.2 kW（全天峰值，光伏出力已降至接近零，全部用电来自电网）。夜间21时：26.8 kW（晚班运行，仍处于较高水平）。全天预测总用电量603 kWh，与相似日法估算的605 kWh高度吻合（偏差0.3%），两种方法交叉验证增强了预测可信度。</w:t>
      </w:r>
    </w:p>
    <w:p w14:paraId="0FAE6015" w14:textId="77777777" w:rsidR="00753041" w:rsidRDefault="00000000">
      <w:pPr>
        <w:spacing w:after="120"/>
        <w:rPr>
          <w:rFonts w:hint="eastAsia"/>
        </w:rPr>
      </w:pPr>
      <w:r>
        <w:t>置信区间。基于LightGBM模型在测试集上的残差标准差（约0.55 kW），80%置信区间为预测值±0.70 kW。午间12时的预测为20.1 ± 1.5 kW（午间区间扩宽至2倍以反映光伏不确定性）。调度模块可据此制定策略：午间最低净负荷约18.6 kW（下界），储能可在此窗口充电；傍晚峰值最高约29.9 kW（上界），储能需确保此时有足够SOC放电。</w:t>
      </w:r>
    </w:p>
    <w:p w14:paraId="2FA8BB0E" w14:textId="77777777" w:rsidR="00753041" w:rsidRDefault="00000000">
      <w:pPr>
        <w:spacing w:after="120"/>
        <w:rPr>
          <w:rFonts w:hint="eastAsia"/>
        </w:rPr>
      </w:pPr>
      <w:r>
        <w:t>此示例说明了从历史数据到24h预测结果的完整链路：相似日提供日总量基准→LightGBM提供逐时分解→光伏特征自动修正午间净负荷→置信区间支撑调度决策。三者的逻辑链条清晰，每一步都有据可查。</w:t>
      </w:r>
    </w:p>
    <w:sectPr w:rsidR="0075304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041"/>
    <w:rsid w:val="001F34F6"/>
    <w:rsid w:val="00282BE2"/>
    <w:rsid w:val="00291371"/>
    <w:rsid w:val="002A3293"/>
    <w:rsid w:val="004C4D0D"/>
    <w:rsid w:val="006D2A55"/>
    <w:rsid w:val="00753041"/>
    <w:rsid w:val="00A91E14"/>
    <w:rsid w:val="00DF53EE"/>
    <w:rsid w:val="00FB721A"/>
    <w:rsid w:val="05773B3A"/>
    <w:rsid w:val="0DF82795"/>
    <w:rsid w:val="23831ED0"/>
    <w:rsid w:val="2B214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AC8D4C"/>
  <w15:docId w15:val="{0D750F26-8EC1-4CF8-BC3D-FA1908CCA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1"/>
    </w:rPr>
  </w:style>
  <w:style w:type="paragraph" w:styleId="1">
    <w:name w:val="heading 1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next w:val="a"/>
    <w:qFormat/>
    <w:pPr>
      <w:outlineLvl w:val="3"/>
    </w:pPr>
    <w:rPr>
      <w:i/>
      <w:iCs/>
      <w:color w:val="2E74B5"/>
      <w:sz w:val="21"/>
      <w:szCs w:val="21"/>
    </w:rPr>
  </w:style>
  <w:style w:type="paragraph" w:styleId="5">
    <w:name w:val="heading 5"/>
    <w:next w:val="a"/>
    <w:qFormat/>
    <w:pPr>
      <w:outlineLvl w:val="4"/>
    </w:pPr>
    <w:rPr>
      <w:color w:val="2E74B5"/>
      <w:sz w:val="21"/>
      <w:szCs w:val="21"/>
    </w:rPr>
  </w:style>
  <w:style w:type="paragraph" w:styleId="6">
    <w:name w:val="heading 6"/>
    <w:next w:val="a"/>
    <w:qFormat/>
    <w:pPr>
      <w:outlineLvl w:val="5"/>
    </w:pPr>
    <w:rPr>
      <w:color w:val="1F4D7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link w:val="a4"/>
    <w:uiPriority w:val="99"/>
    <w:semiHidden/>
    <w:unhideWhenUsed/>
  </w:style>
  <w:style w:type="paragraph" w:styleId="a5">
    <w:name w:val="footnote text"/>
    <w:link w:val="a6"/>
    <w:uiPriority w:val="99"/>
    <w:semiHidden/>
    <w:unhideWhenUsed/>
    <w:qFormat/>
  </w:style>
  <w:style w:type="paragraph" w:styleId="a7">
    <w:name w:val="Title"/>
    <w:qFormat/>
    <w:rPr>
      <w:sz w:val="56"/>
      <w:szCs w:val="56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character" w:styleId="a9">
    <w:name w:val="Hyperlink"/>
    <w:uiPriority w:val="99"/>
    <w:unhideWhenUsed/>
    <w:rPr>
      <w:color w:val="0563C1"/>
      <w:u w:val="single"/>
    </w:rPr>
  </w:style>
  <w:style w:type="character" w:styleId="aa">
    <w:name w:val="footnote reference"/>
    <w:uiPriority w:val="99"/>
    <w:semiHidden/>
    <w:unhideWhenUsed/>
    <w:qFormat/>
    <w:rPr>
      <w:vertAlign w:val="superscript"/>
    </w:rPr>
  </w:style>
  <w:style w:type="paragraph" w:styleId="ab">
    <w:name w:val="List Paragraph"/>
    <w:qFormat/>
    <w:rPr>
      <w:sz w:val="21"/>
      <w:szCs w:val="21"/>
    </w:rPr>
  </w:style>
  <w:style w:type="character" w:customStyle="1" w:styleId="a6">
    <w:name w:val="脚注文本 字符"/>
    <w:link w:val="a5"/>
    <w:uiPriority w:val="99"/>
    <w:semiHidden/>
    <w:unhideWhenUsed/>
    <w:qFormat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rPr>
      <w:sz w:val="20"/>
      <w:szCs w:val="20"/>
    </w:rPr>
  </w:style>
  <w:style w:type="paragraph" w:customStyle="1" w:styleId="MTDisplayEquation">
    <w:name w:val="MTDisplayEquation"/>
    <w:basedOn w:val="a"/>
    <w:next w:val="a"/>
    <w:qFormat/>
    <w:pPr>
      <w:tabs>
        <w:tab w:val="center" w:pos="4160"/>
        <w:tab w:val="right" w:pos="8300"/>
      </w:tabs>
      <w:spacing w:after="160" w:line="300" w:lineRule="auto"/>
    </w:pPr>
    <w:rPr>
      <w:rFonts w:ascii="Cambria Math" w:eastAsia="宋体" w:hAnsi="Cambria Math"/>
      <w:i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oleObject" Target="embeddings/oleObject2.bin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5.wmf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17" Type="http://schemas.openxmlformats.org/officeDocument/2006/relationships/image" Target="media/image13.wmf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1.bin"/><Relationship Id="rId20" Type="http://schemas.openxmlformats.org/officeDocument/2006/relationships/oleObject" Target="embeddings/oleObject3.bin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7.svg"/><Relationship Id="rId5" Type="http://schemas.openxmlformats.org/officeDocument/2006/relationships/image" Target="media/image2.svg"/><Relationship Id="rId15" Type="http://schemas.openxmlformats.org/officeDocument/2006/relationships/image" Target="media/image12.wmf"/><Relationship Id="rId23" Type="http://schemas.openxmlformats.org/officeDocument/2006/relationships/image" Target="media/image16.png"/><Relationship Id="rId10" Type="http://schemas.openxmlformats.org/officeDocument/2006/relationships/image" Target="media/image7.png"/><Relationship Id="rId19" Type="http://schemas.openxmlformats.org/officeDocument/2006/relationships/image" Target="media/image14.wmf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1.png"/><Relationship Id="rId22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14</Pages>
  <Words>3983</Words>
  <Characters>4821</Characters>
  <Application>Microsoft Office Word</Application>
  <DocSecurity>0</DocSecurity>
  <Lines>141</Lines>
  <Paragraphs>93</Paragraphs>
  <ScaleCrop>false</ScaleCrop>
  <Company/>
  <LinksUpToDate>false</LinksUpToDate>
  <CharactersWithSpaces>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LY-muyanshiqi Yale Li</cp:lastModifiedBy>
  <cp:revision>4</cp:revision>
  <dcterms:created xsi:type="dcterms:W3CDTF">2026-08-11T14:18:00Z</dcterms:created>
  <dcterms:modified xsi:type="dcterms:W3CDTF">2026-08-14T14:04:00Z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eyJoZGlkIjoiNmE5ZTk0MjBiOGQ5ZGI3YzJlNGQyNDM3YTY0YWFlNzIiLCJ1c2VySWQiOiIxNjMwOTE5MDYwIn0=</vt:lpwstr>
  </property>
  <property fmtid="{D5CDD505-2E9C-101B-9397-08002B2CF9AE}" pid="3" name="KSOProductBuildVer">
    <vt:lpwstr>2052-12.1.0.28043</vt:lpwstr>
  </property>
  <property fmtid="{D5CDD505-2E9C-101B-9397-08002B2CF9AE}" pid="4" name="ICV">
    <vt:lpwstr>ABA58692372E450F85E07C16A2655A43_12</vt:lpwstr>
  </property>
</Properties>
</file>