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hAnsi="Times New Roman"/>
          <w:b/>
          <w:sz w:val="40"/>
        </w:rPr>
        <w:t>DOCUMENTACIÓN TÉCNICA</w:t>
      </w:r>
    </w:p>
    <w:p>
      <w:pPr>
        <w:spacing w:line="480" w:lineRule="auto"/>
        <w:jc w:val="center"/>
      </w:pPr>
      <w:r>
        <w:rPr>
          <w:rFonts w:ascii="Times New Roman" w:hAnsi="Times New Roman"/>
          <w:sz w:val="28"/>
        </w:rPr>
        <w:t>Plataforma TDA-SIMP</w:t>
      </w: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hAnsi="Times New Roman"/>
          <w:b/>
          <w:sz w:val="28"/>
        </w:rPr>
        <w:t>Jorge Larry Copa Cruz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Maestría en Matemática · UAGRM</w:t>
        <w:br/>
        <w:t>2026</w:t>
      </w:r>
    </w:p>
    <w:p>
      <w:r>
        <w:br w:type="page"/>
      </w:r>
    </w:p>
    <w:p>
      <w:pPr>
        <w:pStyle w:val="Heading1"/>
      </w:pPr>
      <w:r>
        <w:t>1. Arquitectura del Sistema</w:t>
      </w:r>
    </w:p>
    <w:p>
      <w:r>
        <w:t>Paquete instalable tda (src/tda): analysis (métricas, estabilidad, anomalías), core (FEM Q4, métrica compuesta, topología, doble cómputo Betti), optimization (SIMP 2D, viga 1D, SIMP con TDA), processing (muestreo, ruido, normalización), simulation (pipeline y experimentos headless), visualization (Plotly/Matplotlib), app (plataforma Streamlit: landing + 4 páginas). Gestión con uv (.venv), tests con pytest (209 pruebas).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2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aforma tda si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2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Figura 1. Plataforma TDA-SIMP (landing).</w:t>
      </w:r>
    </w:p>
    <w:p>
      <w:pPr>
        <w:pStyle w:val="Heading1"/>
      </w:pPr>
      <w:r>
        <w:t>2. Núcleo Matemático</w:t>
      </w:r>
    </w:p>
    <w:p>
      <w:pPr>
        <w:pStyle w:val="Heading2"/>
      </w:pPr>
      <w:r>
        <w:t>2.1 Homología persistente</w:t>
      </w:r>
    </w:p>
    <w:p>
      <w:r>
        <w:t>Ripser (complejos Vietoris-Rips) para nubes; GUDHI (complejos cúbicos) para mallas. Lectura β₁ con umbral relativo τ·diam(X), calibrado en τ = 0.15 contra el patrón de oro de 7 nubes (Figura 5.1).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E_1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Figura 2. Calibración de τ — ventana de acierto 7/7.</w:t>
      </w:r>
    </w:p>
    <w:p>
      <w:pPr>
        <w:pStyle w:val="Heading2"/>
      </w:pPr>
      <w:r>
        <w:t>2.2 Doble cómputo de Betti (diseños SIMP)</w:t>
      </w:r>
    </w:p>
    <w:p>
      <w:r>
        <w:t>Método A — característica de Euler del complejo cúbico: β₀ por etiquetado 4-conexo, χ = V−E+F por conteo celular, β₁ = β₀−χ (H₂ = 0 en R²). Método B — homología cúbica persistente (GUDHI, subnivel 0.5). La bandera de concordancia se registra en cada tabla de datos.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084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E_2_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8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Figura 3. Concordancia χ-GUDHI y persistencia H₁.</w:t>
      </w:r>
    </w:p>
    <w:p>
      <w:pPr>
        <w:pStyle w:val="Heading2"/>
      </w:pPr>
      <w:r>
        <w:t>2.3 Métrica compuesta</w:t>
      </w:r>
    </w:p>
    <w:p>
      <w:r>
        <w:t>μ(α) = c + α·β₁ con α = 0.036 (H.G.) y α = 0.012 (observer H.E.2); resuelve el orden parcial entre configuraciones SIMP.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984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G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98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Figura 4. Sensibilidad de μ(α) al peso α.</w:t>
      </w:r>
    </w:p>
    <w:p>
      <w:pPr>
        <w:pStyle w:val="Heading1"/>
      </w:pPr>
      <w:r>
        <w:t>3. Solver FEM y SIMP</w:t>
      </w:r>
    </w:p>
    <w:p>
      <w:r>
        <w:t>Motor Q4 (fem.py): ensamble, solver, sensibilidades y criterio OC con filtro de sensibilidad rmin. Optimización p = 3, fV = 0.5, mallas rectangulares (hasta 120×60) y cuadradas (Ne en {1600, 6400, 14400}).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371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E_2_2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7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Figura 5. Campo continuo vs sólido binarizado.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740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E_2_4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4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Figura 6. Barrido p con grisura y β₁ anotado.</w:t>
      </w:r>
    </w:p>
    <w:p>
      <w:pPr>
        <w:pStyle w:val="Heading1"/>
      </w:pPr>
      <w:r>
        <w:t>4. Validaciones Estadísticas</w:t>
      </w:r>
    </w:p>
    <w:p>
      <w:r>
        <w:t>McNemar (χ² con n01/n10 discordantes, p &lt; 0.001 si ínfimo), cotas bottleneck dB/diam ≤ 2q y dB ≤ 2dH, q* estimado, Tabla 5.5 dinámica y Tabla 5.9 con valores del documento (1.000; 0.950 vs 0.925; q* ≈ 0.05−0.10; +76.12 %).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941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E_1_4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4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Figura 7. McNemar y cota réplica por réplica.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568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G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5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Figura 8. Tabla 5.9 de veredictos con evidencia.</w:t>
      </w:r>
    </w:p>
    <w:p>
      <w:pPr>
        <w:pStyle w:val="Heading1"/>
      </w:pPr>
      <w:r>
        <w:t>5. Exportación y Ejecutable</w:t>
      </w:r>
    </w:p>
    <w:p>
      <w:r>
        <w:t>download_utils.py: fig_png_bytes (kaleido/Matplotlib) y write_figs_zip (22 gráficos registrados, .txt de error si alguno falla). Empaquetado .exe con PyInstaller + streamlit-desktop-app (ver docs de empaquetado).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129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_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2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Figura 9. Exportación ZIP de figuras.</w:t>
      </w:r>
    </w:p>
    <w:p>
      <w:pPr>
        <w:pStyle w:val="Heading1"/>
      </w:pPr>
      <w:r>
        <w:t>6. Hallazgos Principales</w:t>
      </w:r>
    </w:p>
    <w:p>
      <w:r>
        <w:t>H.E.1a original: la lectura escalar βₖ deja de ser fiable fuera de su régimen (tasa ≈ 0 en q ≥ 0.15); rige H.E.1a' (cota 2q) y H.E.1c (q* delimitado). H.E.2a': reducción ≈ 77 % vs uniforme (≥ 40 % exigido). H.E.2b': β₁ = 2 invariante en malla; sensible a p y rmin fuera de rango (veredicto parcial por configuración). H.G.: μ(α) identifica p = 3 Pareto-óptimo.</w:t>
      </w:r>
    </w:p>
    <w:p>
      <w:pPr>
        <w:spacing w:before="80" w:after="160"/>
      </w:pPr>
      <w:r>
        <w:rPr>
          <w:rFonts w:ascii="Times New Roman" w:hAnsi="Times New Roman"/>
          <w:b/>
          <w:sz w:val="20"/>
        </w:rPr>
        <w:t xml:space="preserve">Nota: </w:t>
      </w:r>
      <w:r>
        <w:rPr>
          <w:rFonts w:ascii="Times New Roman" w:hAnsi="Times New Roman"/>
          <w:i/>
          <w:sz w:val="20"/>
        </w:rPr>
        <w:t>Los valores entre paréntesis corresponden a corridas de referencia (malla 60×30, n = 400, semilla 42); cada ejecución recalcula todo.</w:t>
      </w:r>
    </w:p>
    <w:sectPr w:rsidR="00FC693F" w:rsidRPr="0006063C" w:rsidSect="00034616">
      <w:footerReference w:type="default" r:id="rId9"/>
      <w:pgSz w:w="12240" w:h="15840"/>
      <w:pgMar w:top="1701" w:right="1701" w:bottom="1701" w:left="1701" w:header="1417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t xml:space="preserve"> PAGE </w:t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120" w:after="120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20" w:after="120"/>
      <w:ind w:left="1134" w:right="1134"/>
    </w:pPr>
    <w:rPr>
      <w:rFonts w:ascii="Times New Roman" w:hAnsi="Times New Roman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