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Correcciones al documento principal (Cap. I–V)</w:t>
      </w:r>
    </w:p>
    <w:p>
      <w:r>
        <w:t xml:space="preserve">Este archivo lista las ediciones exactas que deben aplicarse al </w:t>
      </w:r>
      <w:r>
        <w:rPr>
          <w:b/>
        </w:rPr>
        <w:t>cuerpo de la tesis</w:t>
      </w:r>
    </w:p>
    <w:p>
      <w:r>
        <w:t>(que en el repositorio solo existe como PDF, por lo que no es editable desde aquí).</w:t>
      </w:r>
    </w:p>
    <w:p>
      <w:r>
        <w:t>Los Anexos 1 y 2 (</w:t>
      </w:r>
      <w:r>
        <w:rPr>
          <w:rFonts w:ascii="Consolas" w:hAnsi="Consolas"/>
          <w:sz w:val="20"/>
        </w:rPr>
        <w:t>.docx</w:t>
      </w:r>
      <w:r>
        <w:t>) ya fueron corregidos y regenerados.</w:t>
      </w:r>
    </w:p>
    <w:p>
      <w:r>
        <w:t>Criterio: el software se alineó a la tesis (Camino A). Las versiones de librerías se</w:t>
      </w:r>
    </w:p>
    <w:p>
      <w:r>
        <w:t xml:space="preserve">mantienen </w:t>
      </w:r>
      <w:r>
        <w:rPr>
          <w:b/>
        </w:rPr>
        <w:t>como están instaladas</w:t>
      </w:r>
      <w:r>
        <w:t xml:space="preserve"> en el software.</w:t>
      </w:r>
    </w:p>
    <w:p>
      <w:pPr>
        <w:pStyle w:val="Heading1"/>
      </w:pPr>
      <w:r>
        <w:t>Item 1 — Tabla 3.1 (Herramientas computacionales) y §1.5.2</w:t>
      </w:r>
    </w:p>
    <w:p>
      <w:r>
        <w:rPr>
          <w:b/>
        </w:rPr>
        <w:t>Antes</w:t>
      </w:r>
    </w:p>
    <w:p>
      <w:pPr>
        <w:pStyle w:val="ListBullet"/>
      </w:pPr>
      <w:r>
        <w:t xml:space="preserve">Tabla 3.1 incluye filas: </w:t>
      </w:r>
      <w:r>
        <w:rPr>
          <w:rFonts w:ascii="Consolas" w:hAnsi="Consolas"/>
          <w:sz w:val="20"/>
        </w:rPr>
        <w:t>Persim 0.3.x</w:t>
      </w:r>
      <w:r>
        <w:t xml:space="preserve"> (Visualización de diagramas, distancia de Wasserstein) y </w:t>
      </w:r>
      <w:r>
        <w:rPr>
          <w:rFonts w:ascii="Consolas" w:hAnsi="Consolas"/>
          <w:sz w:val="20"/>
        </w:rPr>
        <w:t>PyTorch 2.x</w:t>
      </w:r>
      <w:r>
        <w:t xml:space="preserve"> (Diferenciación automática).</w:t>
      </w:r>
    </w:p>
    <w:p>
      <w:pPr>
        <w:pStyle w:val="ListBullet"/>
      </w:pPr>
      <w:r>
        <w:t>Versiones listadas: NumPy 1.26, SciPy 1.12, Matplotlib 3.8, scikit-learn 1.4.</w:t>
      </w:r>
    </w:p>
    <w:p>
      <w:pPr>
        <w:pStyle w:val="ListBullet"/>
      </w:pPr>
      <w:r>
        <w:t>§1.5.2: «Python 3.11+Ripser 0.6, Persim 0.3, PyTorch 2.x, NumPy 1.26, SciPy 1.12, Matplotlib 3.8 y scikit-learn 1.4».</w:t>
      </w:r>
    </w:p>
    <w:p>
      <w:r>
        <w:rPr>
          <w:b/>
        </w:rPr>
        <w:t>Después</w:t>
      </w:r>
    </w:p>
    <w:p>
      <w:pPr>
        <w:pStyle w:val="ListBullet"/>
      </w:pPr>
      <w:r>
        <w:rPr>
          <w:b/>
        </w:rPr>
        <w:t>Eliminar</w:t>
      </w:r>
      <w:r>
        <w:t xml:space="preserve"> las filas </w:t>
      </w:r>
      <w:r>
        <w:rPr>
          <w:rFonts w:ascii="Consolas" w:hAnsi="Consolas"/>
          <w:sz w:val="20"/>
        </w:rPr>
        <w:t>Persim</w:t>
      </w:r>
      <w:r>
        <w:t xml:space="preserve"> y </w:t>
      </w:r>
      <w:r>
        <w:rPr>
          <w:rFonts w:ascii="Consolas" w:hAnsi="Consolas"/>
          <w:sz w:val="20"/>
        </w:rPr>
        <w:t>PyTorch</w:t>
      </w:r>
      <w:r>
        <w:t xml:space="preserve"> (no se usan: las distancias bottleneck/Wasserstein están implementadas en NumPy puro).</w:t>
      </w:r>
    </w:p>
    <w:p>
      <w:pPr>
        <w:pStyle w:val="ListBullet"/>
      </w:pPr>
      <w:r>
        <w:t xml:space="preserve">Versiones (instaladas): </w:t>
      </w:r>
      <w:r>
        <w:rPr>
          <w:rFonts w:ascii="Consolas" w:hAnsi="Consolas"/>
          <w:sz w:val="20"/>
        </w:rPr>
        <w:t>numpy&gt;=2.1</w:t>
      </w:r>
      <w:r>
        <w:t xml:space="preserve">, </w:t>
      </w:r>
      <w:r>
        <w:rPr>
          <w:rFonts w:ascii="Consolas" w:hAnsi="Consolas"/>
          <w:sz w:val="20"/>
        </w:rPr>
        <w:t>scipy&gt;=1.14</w:t>
      </w:r>
      <w:r>
        <w:t xml:space="preserve">, </w:t>
      </w:r>
      <w:r>
        <w:rPr>
          <w:rFonts w:ascii="Consolas" w:hAnsi="Consolas"/>
          <w:sz w:val="20"/>
        </w:rPr>
        <w:t>scikit-learn&gt;=1.5</w:t>
      </w:r>
      <w:r>
        <w:t xml:space="preserve">, </w:t>
      </w:r>
      <w:r>
        <w:rPr>
          <w:rFonts w:ascii="Consolas" w:hAnsi="Consolas"/>
          <w:sz w:val="20"/>
        </w:rPr>
        <w:t>matplotlib&gt;=3.9</w:t>
      </w:r>
      <w:r>
        <w:t xml:space="preserve">, </w:t>
      </w:r>
      <w:r>
        <w:rPr>
          <w:rFonts w:ascii="Consolas" w:hAnsi="Consolas"/>
          <w:sz w:val="20"/>
        </w:rPr>
        <w:t>plotly&gt;=5.24</w:t>
      </w:r>
      <w:r>
        <w:t xml:space="preserve">, </w:t>
      </w:r>
      <w:r>
        <w:rPr>
          <w:rFonts w:ascii="Consolas" w:hAnsi="Consolas"/>
          <w:sz w:val="20"/>
        </w:rPr>
        <w:t>gudhi&gt;=3.13</w:t>
      </w:r>
      <w:r>
        <w:t xml:space="preserve">, </w:t>
      </w:r>
      <w:r>
        <w:rPr>
          <w:rFonts w:ascii="Consolas" w:hAnsi="Consolas"/>
          <w:sz w:val="20"/>
        </w:rPr>
        <w:t>ripser</w:t>
      </w:r>
      <w:r>
        <w:t xml:space="preserve"> (0.6.x), Python 3.11+ (entorno validado en 3.12).</w:t>
      </w:r>
    </w:p>
    <w:p>
      <w:pPr>
        <w:pStyle w:val="ListBullet"/>
      </w:pPr>
      <w:r>
        <w:t>§1.5.2 → «Python 3.11+ (validado en 3.12), Ripser 0.6, GUDHI 3.13, NumPy ≥2.1, SciPy ≥1.14, Matplotlib ≥3.9 y scikit-learn ≥1.5».</w:t>
      </w:r>
    </w:p>
    <w:p>
      <w:r>
        <w:rPr>
          <w:b/>
        </w:rPr>
        <w:t>Razón:</w:t>
      </w:r>
      <w:r>
        <w:t xml:space="preserve"> Ni PyTorch ni Persim aparecen en el código; declararlos rompe la trazabilidad.</w:t>
      </w:r>
    </w:p>
    <w:p>
      <w:pPr>
        <w:pStyle w:val="Heading1"/>
      </w:pPr>
      <w:r>
        <w:t>Item 2 — Método del optimizador (MMA → OC)</w:t>
      </w:r>
    </w:p>
    <w:p>
      <w:r>
        <w:rPr>
          <w:b/>
        </w:rPr>
        <w:t>Antes</w:t>
      </w:r>
      <w:r>
        <w:t xml:space="preserve"> (Anexo): «El optimizador implementado utiliza el método </w:t>
      </w:r>
      <w:r>
        <w:rPr>
          <w:b/>
        </w:rPr>
        <w:t>MMA</w:t>
      </w:r>
      <w:r>
        <w:t xml:space="preserve"> (Method of Moving Asymptotes)…».</w:t>
      </w:r>
    </w:p>
    <w:p>
      <w:r>
        <w:rPr>
          <w:b/>
        </w:rPr>
        <w:t>Después</w:t>
      </w:r>
      <w:r>
        <w:t xml:space="preserve"> (Anexo, ya corregido) y cuerpo: el solver usa </w:t>
      </w:r>
      <w:r>
        <w:rPr>
          <w:b/>
        </w:rPr>
        <w:t>Criterio de Optimalidad (OC)</w:t>
      </w:r>
      <w:r>
        <w:t xml:space="preserve"> con actualización </w:t>
      </w:r>
      <w:r>
        <w:rPr>
          <w:rFonts w:ascii="Consolas" w:hAnsi="Consolas"/>
          <w:sz w:val="20"/>
        </w:rPr>
        <w:t>ρ_e·(−∂c/∂ρ_e / λ)^{1/2}</w:t>
      </w:r>
      <w:r>
        <w:t xml:space="preserve"> y bisección del multiplicador — exactamente el Algoritmo 2.</w:t>
      </w:r>
    </w:p>
    <w:p>
      <w:r>
        <w:rPr>
          <w:b/>
        </w:rPr>
        <w:t>Razón:</w:t>
      </w:r>
      <w:r>
        <w:t xml:space="preserve"> No existe MMA en el código; el Algoritmo 2 del propio Cap. IV ya describe OC. (Anexo corregido; verificar que §2.2.3 y Anexo coincidan.)</w:t>
      </w:r>
    </w:p>
    <w:p>
      <w:pPr>
        <w:pStyle w:val="Heading1"/>
      </w:pPr>
      <w:r>
        <w:t>Item 3 — Filtro de densidad (Algoritmo 2, paso 7)</w:t>
      </w:r>
    </w:p>
    <w:p>
      <w:r>
        <w:rPr>
          <w:b/>
        </w:rPr>
        <w:t>Antes:</w:t>
      </w:r>
      <w:r>
        <w:t xml:space="preserve"> implícito/ambiguo; el software usaba filtro de sensibilidad.</w:t>
      </w:r>
    </w:p>
    <w:p>
      <w:r>
        <w:rPr>
          <w:b/>
        </w:rPr>
        <w:t>Después:</w:t>
      </w:r>
      <w:r>
        <w:t xml:space="preserve"> dejar explícito en §2.2.3 y en el Algoritmo 2 que el filtro es </w:t>
      </w:r>
      <w:r>
        <w:rPr>
          <w:b/>
        </w:rPr>
        <w:t>de densidad</w:t>
      </w:r>
      <w:r>
        <w:t>:</w:t>
      </w:r>
    </w:p>
    <w:p>
      <w:r>
        <w:rPr>
          <w:rFonts w:ascii="Consolas" w:hAnsi="Consolas"/>
          <w:sz w:val="20"/>
        </w:rPr>
        <w:t>ρ̃ ← H(ρ)/Hs ,   Hs = Σ_f ĥ_ef</w:t>
      </w:r>
    </w:p>
    <w:p>
      <w:r>
        <w:t xml:space="preserve">La densidad física que entra al ensamble FEM es la filtrada </w:t>
      </w:r>
      <w:r>
        <w:rPr>
          <w:rFonts w:ascii="Consolas" w:hAnsi="Consolas"/>
          <w:sz w:val="20"/>
        </w:rPr>
        <w:t>ρ̃</w:t>
      </w:r>
      <w:r>
        <w:t xml:space="preserve"> (no </w:t>
      </w:r>
      <w:r>
        <w:rPr>
          <w:rFonts w:ascii="Consolas" w:hAnsi="Consolas"/>
          <w:sz w:val="20"/>
        </w:rPr>
        <w:t>ρ</w:t>
      </w:r>
      <w:r>
        <w:t xml:space="preserve"> cruda).</w:t>
      </w:r>
    </w:p>
    <w:p>
      <w:r>
        <w:rPr>
          <w:b/>
        </w:rPr>
        <w:t>Razón:</w:t>
      </w:r>
      <w:r>
        <w:t xml:space="preserve"> El Algoritmo 2 (paso 7) ya lo dice; el software ahora lo implementa así. Efecto: </w:t>
      </w:r>
      <w:r>
        <w:rPr>
          <w:rFonts w:ascii="Consolas" w:hAnsi="Consolas"/>
          <w:sz w:val="20"/>
        </w:rPr>
        <w:t>c_SIMP</w:t>
      </w:r>
      <w:r>
        <w:t xml:space="preserve"> pasa de ≈70.2 (sensibilidad) a ≈74.7 (densidad).</w:t>
      </w:r>
    </w:p>
    <w:p>
      <w:pPr>
        <w:pStyle w:val="Heading1"/>
      </w:pPr>
      <w:r>
        <w:t>Item 4 — Tolerancia de convergencia (§3.4.3)</w:t>
      </w:r>
    </w:p>
    <w:p>
      <w:r>
        <w:rPr>
          <w:b/>
        </w:rPr>
        <w:t>Antes:</w:t>
      </w:r>
      <w:r>
        <w:t xml:space="preserve"> «… cambio máximo en densidades menor que </w:t>
      </w:r>
      <w:r>
        <w:rPr>
          <w:b/>
        </w:rPr>
        <w:t>10⁻³</w:t>
      </w:r>
      <w:r>
        <w:t xml:space="preserve"> entre iteraciones consecutivas.»</w:t>
      </w:r>
    </w:p>
    <w:p>
      <w:r>
        <w:rPr>
          <w:b/>
        </w:rPr>
        <w:t>Después:</w:t>
      </w:r>
      <w:r>
        <w:t xml:space="preserve"> «… cambio máximo en densidades menor que </w:t>
      </w:r>
      <w:r>
        <w:rPr>
          <w:b/>
        </w:rPr>
        <w:t>10⁻²</w:t>
      </w:r>
      <w:r>
        <w:t xml:space="preserve"> entre iteraciones consecutivas.»</w:t>
      </w:r>
    </w:p>
    <w:p>
      <w:r>
        <w:rPr>
          <w:b/>
        </w:rPr>
        <w:t>Razón:</w:t>
      </w:r>
      <w:r>
        <w:t xml:space="preserve"> Contradicción interna: el Algoritmo 2 (paso 24) y la Tabla 4.4 fijan </w:t>
      </w:r>
      <w:r>
        <w:rPr>
          <w:rFonts w:ascii="Consolas" w:hAnsi="Consolas"/>
          <w:sz w:val="20"/>
        </w:rPr>
        <w:t>Δρ &lt; 10⁻²</w:t>
      </w:r>
      <w:r>
        <w:t xml:space="preserve">. El código usa </w:t>
      </w:r>
      <w:r>
        <w:rPr>
          <w:rFonts w:ascii="Consolas" w:hAnsi="Consolas"/>
          <w:sz w:val="20"/>
        </w:rPr>
        <w:t>tol_rho = 1e-2</w:t>
      </w:r>
      <w:r>
        <w:t>. Unificar en 10⁻².</w:t>
      </w:r>
    </w:p>
    <w:p>
      <w:pPr>
        <w:pStyle w:val="Heading1"/>
      </w:pPr>
      <w:r>
        <w:t>Item 5 — Escala del material y la carga (E0)</w:t>
      </w:r>
    </w:p>
    <w:p>
      <w:r>
        <w:rPr>
          <w:b/>
        </w:rPr>
        <w:t>Antes:</w:t>
      </w:r>
      <w:r>
        <w:t xml:space="preserve"> Anexo §3.2 «Módulo Young (E0) = 200000 MPa»; §3.4.1 «carga puntual».</w:t>
      </w:r>
    </w:p>
    <w:p>
      <w:r>
        <w:rPr>
          <w:b/>
        </w:rPr>
        <w:t>Después:</w:t>
      </w:r>
      <w:r>
        <w:t xml:space="preserve"> los resultados del Cap. V corresponden a </w:t>
      </w:r>
      <w:r>
        <w:rPr>
          <w:b/>
        </w:rPr>
        <w:t>material y carga normalizados (`E0 = 1`, `F = 1`)</w:t>
      </w:r>
      <w:r>
        <w:t xml:space="preserve"> con </w:t>
      </w:r>
      <w:r>
        <w:rPr>
          <w:b/>
        </w:rPr>
        <w:t>elementos unitarios</w:t>
      </w:r>
      <w:r>
        <w:t xml:space="preserve"> (</w:t>
      </w:r>
      <w:r>
        <w:rPr>
          <w:rFonts w:ascii="Consolas" w:hAnsi="Consolas"/>
          <w:sz w:val="20"/>
        </w:rPr>
        <w:t>Lx = nex</w:t>
      </w:r>
      <w:r>
        <w:t xml:space="preserve">, </w:t>
      </w:r>
      <w:r>
        <w:rPr>
          <w:rFonts w:ascii="Consolas" w:hAnsi="Consolas"/>
          <w:sz w:val="20"/>
        </w:rPr>
        <w:t>Ly = ney</w:t>
      </w:r>
      <w:r>
        <w:t>). Añadir en Tabla 5.6 una nota: «valores en unidades normalizadas (E0 = 1, F = 1, espesor 1)». Si se prefiere mantener E0 = 200000, entonces deben recalcularse TODOS los valores del Cap. V (316.34 / 39.54 / 75.55).</w:t>
      </w:r>
    </w:p>
    <w:p>
      <w:r>
        <w:rPr>
          <w:b/>
        </w:rPr>
        <w:t>Razón:</w:t>
      </w:r>
      <w:r>
        <w:t xml:space="preserve"> </w:t>
      </w:r>
      <w:r>
        <w:rPr>
          <w:rFonts w:ascii="Consolas" w:hAnsi="Consolas"/>
          <w:sz w:val="20"/>
        </w:rPr>
        <w:t>c_uniforme = 316.342</w:t>
      </w:r>
      <w:r>
        <w:t xml:space="preserve"> y </w:t>
      </w:r>
      <w:r>
        <w:rPr>
          <w:rFonts w:ascii="Consolas" w:hAnsi="Consolas"/>
          <w:sz w:val="20"/>
        </w:rPr>
        <w:t>c_sólido = 39.543</w:t>
      </w:r>
      <w:r>
        <w:t xml:space="preserve"> se reproducen exactamente con </w:t>
      </w:r>
      <w:r>
        <w:rPr>
          <w:rFonts w:ascii="Consolas" w:hAnsi="Consolas"/>
          <w:sz w:val="20"/>
        </w:rPr>
        <w:t>E0 = 1, F = 1, Lx = 60, Ly = 30</w:t>
      </w:r>
      <w:r>
        <w:t xml:space="preserve">; con </w:t>
      </w:r>
      <w:r>
        <w:rPr>
          <w:rFonts w:ascii="Consolas" w:hAnsi="Consolas"/>
          <w:sz w:val="20"/>
        </w:rPr>
        <w:t>E0 = 200000</w:t>
      </w:r>
      <w:r>
        <w:t xml:space="preserve"> dan 4717.7 / 589.7. El Anexo y el Cap. V se contradicen.</w:t>
      </w:r>
    </w:p>
    <w:p>
      <w:pPr>
        <w:pStyle w:val="Heading1"/>
      </w:pPr>
      <w:r>
        <w:t>Item 6 — Malla del barrido (Tabla 1.1 vs Figura 5.6) — NO requiere corrección (solo aclarar)</w:t>
      </w:r>
    </w:p>
    <w:p>
      <w:r>
        <w:rPr>
          <w:b/>
        </w:rPr>
        <w:t>Estado:</w:t>
      </w:r>
      <w:r>
        <w:t xml:space="preserve"> revisado. La Tabla 1.1 y la Figura 5.6 </w:t>
      </w:r>
      <w:r>
        <w:rPr>
          <w:b/>
        </w:rPr>
        <w:t>son coherentes entre sí</w:t>
      </w:r>
      <w:r>
        <w:t xml:space="preserve">, siempre que el estudio de independencia de malla se entienda sobre el </w:t>
      </w:r>
      <w:r>
        <w:rPr>
          <w:b/>
        </w:rPr>
        <w:t>dominio cuadrado 60×60</w:t>
      </w:r>
      <w:r>
        <w:t>:</w:t>
      </w:r>
    </w:p>
    <w:p>
      <w:pPr>
        <w:pStyle w:val="ListBullet"/>
      </w:pPr>
      <w:r>
        <w:rPr>
          <w:rFonts w:ascii="Consolas" w:hAnsi="Consolas"/>
          <w:sz w:val="20"/>
        </w:rPr>
        <w:t>Ne ∈ {1600, 6400, 14400}</w:t>
      </w:r>
      <w:r>
        <w:t xml:space="preserve"> = 40², 80², 120² (dominio cuadrado).</w:t>
      </w:r>
    </w:p>
    <w:p>
      <w:pPr>
        <w:pStyle w:val="ListBullet"/>
      </w:pPr>
      <w:r>
        <w:rPr>
          <w:rFonts w:ascii="Consolas" w:hAnsi="Consolas"/>
          <w:sz w:val="20"/>
        </w:rPr>
        <w:t>rmin ∈ {1.6, 3.2, 4.8}</w:t>
      </w:r>
      <w:r>
        <w:t xml:space="preserve"> = 2.4·(nx/60) con nx = 40, 80, 120.</w:t>
      </w:r>
    </w:p>
    <w:p>
      <w:r>
        <w:rPr>
          <w:b/>
        </w:rPr>
        <w:t>Acción:</w:t>
      </w:r>
      <w:r>
        <w:t xml:space="preserve"> añadir una aclaración de que el barrido de H.E.2b usa el </w:t>
      </w:r>
      <w:r>
        <w:rPr>
          <w:b/>
        </w:rPr>
        <w:t>dominio cuadrado 60×60</w:t>
      </w:r>
      <w:r>
        <w:t xml:space="preserve"> (para que no se lea asumiendo la viga 2:1 del caso base). El software ya lo implementa así; </w:t>
      </w:r>
      <w:r>
        <w:rPr>
          <w:b/>
        </w:rPr>
        <w:t>no hay que cambiar los números</w:t>
      </w:r>
      <w:r>
        <w:t>.</w:t>
      </w:r>
    </w:p>
    <w:p>
      <w:pPr>
        <w:pStyle w:val="Heading1"/>
      </w:pPr>
      <w:r>
        <w:t>Item 7 — Valor de β₁ del diseño</w:t>
      </w:r>
    </w:p>
    <w:p>
      <w:r>
        <w:rPr>
          <w:b/>
        </w:rPr>
        <w:t>Antes</w:t>
      </w:r>
      <w:r>
        <w:t xml:space="preserve"> (Anexo, Hallazgo 3): «p = 3 … manteniendo </w:t>
      </w:r>
      <w:r>
        <w:rPr>
          <w:b/>
        </w:rPr>
        <w:t>B1 = 2</w:t>
      </w:r>
      <w:r>
        <w:t>».</w:t>
      </w:r>
    </w:p>
    <w:p>
      <w:r>
        <w:rPr>
          <w:b/>
        </w:rPr>
        <w:t>Después:</w:t>
      </w:r>
      <w:r>
        <w:t xml:space="preserve"> «… manteniendo </w:t>
      </w:r>
      <w:r>
        <w:rPr>
          <w:b/>
        </w:rPr>
        <w:t>β₁ = 3</w:t>
      </w:r>
      <w:r>
        <w:t>».</w:t>
      </w:r>
    </w:p>
    <w:p>
      <w:r>
        <w:rPr>
          <w:b/>
        </w:rPr>
        <w:t>Razón:</w:t>
      </w:r>
      <w:r>
        <w:t xml:space="preserve"> El Cap. V y el software dan </w:t>
      </w:r>
      <w:r>
        <w:rPr>
          <w:rFonts w:ascii="Consolas" w:hAnsi="Consolas"/>
          <w:sz w:val="20"/>
        </w:rPr>
        <w:t>β₁ = 3</w:t>
      </w:r>
      <w:r>
        <w:t xml:space="preserve"> (verificado con doble cómputo Euler/GUDHI). (Anexo ya corregido.)</w:t>
      </w:r>
    </w:p>
    <w:p>
      <w:pPr>
        <w:pStyle w:val="Heading1"/>
      </w:pPr>
      <w:r>
        <w:t>Item 8 — Tabla 4.3 (Módulos del software)</w:t>
      </w:r>
    </w:p>
    <w:p>
      <w:r>
        <w:rPr>
          <w:b/>
        </w:rPr>
        <w:t>Antes:</w:t>
      </w:r>
      <w:r>
        <w:t xml:space="preserve"> </w:t>
      </w:r>
      <w:r>
        <w:rPr>
          <w:rFonts w:ascii="Consolas" w:hAnsi="Consolas"/>
          <w:sz w:val="20"/>
        </w:rPr>
        <w:t>config.py, geometria.py, tda.py, fem_simp.py, betti2d.py, figuras.py, experimentos.py</w:t>
      </w:r>
      <w:r>
        <w:t>.</w:t>
      </w:r>
    </w:p>
    <w:p>
      <w:r>
        <w:rPr>
          <w:b/>
        </w:rPr>
        <w:t>Después</w:t>
      </w:r>
      <w:r>
        <w:t xml:space="preserve"> (módulos reales):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Módulo</w:t>
            </w:r>
          </w:p>
        </w:tc>
        <w:tc>
          <w:tcPr>
            <w:tcW w:type="dxa" w:w="2880"/>
          </w:tcPr>
          <w:p>
            <w:r>
              <w:rPr>
                <w:b/>
              </w:rPr>
            </w:r>
            <w:r>
              <w:rPr>
                <w:b/>
              </w:rPr>
              <w:t>Objetivo</w:t>
            </w:r>
          </w:p>
        </w:tc>
        <w:tc>
          <w:tcPr>
            <w:tcW w:type="dxa" w:w="2880"/>
          </w:tcPr>
          <w:p>
            <w:r>
              <w:rPr>
                <w:b/>
              </w:rPr>
            </w:r>
            <w:r>
              <w:rPr>
                <w:b/>
              </w:rPr>
              <w:t>Responsabilidad</w:t>
            </w:r>
          </w:p>
        </w:tc>
      </w:tr>
      <w:tr>
        <w:tc>
          <w:tcPr>
            <w:tcW w:type="dxa" w:w="2880"/>
          </w:tcPr>
          <w:p>
            <w:r/>
            <w:r>
              <w:rPr>
                <w:rFonts w:ascii="Consolas" w:hAnsi="Consolas"/>
                <w:sz w:val="20"/>
              </w:rPr>
              <w:t>core/fem.py</w:t>
            </w:r>
          </w:p>
        </w:tc>
        <w:tc>
          <w:tcPr>
            <w:tcW w:type="dxa" w:w="2880"/>
          </w:tcPr>
          <w:p>
            <w:r/>
            <w:r>
              <w:t>OE3</w:t>
            </w:r>
          </w:p>
        </w:tc>
        <w:tc>
          <w:tcPr>
            <w:tcW w:type="dxa" w:w="2880"/>
          </w:tcPr>
          <w:p>
            <w:r/>
            <w:r>
              <w:t>Q4, ensamble, solver, sensibilidades, OC</w:t>
            </w:r>
          </w:p>
        </w:tc>
      </w:tr>
      <w:tr>
        <w:tc>
          <w:tcPr>
            <w:tcW w:type="dxa" w:w="2880"/>
          </w:tcPr>
          <w:p>
            <w:r/>
            <w:r>
              <w:rPr>
                <w:rFonts w:ascii="Consolas" w:hAnsi="Consolas"/>
                <w:sz w:val="20"/>
              </w:rPr>
              <w:t>core/betti2d.py</w:t>
            </w:r>
          </w:p>
        </w:tc>
        <w:tc>
          <w:tcPr>
            <w:tcW w:type="dxa" w:w="2880"/>
          </w:tcPr>
          <w:p>
            <w:r/>
            <w:r>
              <w:t>OE3/4</w:t>
            </w:r>
          </w:p>
        </w:tc>
        <w:tc>
          <w:tcPr>
            <w:tcW w:type="dxa" w:w="2880"/>
          </w:tcPr>
          <w:p>
            <w:r/>
            <w:r>
              <w:t>Doble cómputo β₀/β₁ (Euler + GUDHI)</w:t>
            </w:r>
          </w:p>
        </w:tc>
      </w:tr>
      <w:tr>
        <w:tc>
          <w:tcPr>
            <w:tcW w:type="dxa" w:w="2880"/>
          </w:tcPr>
          <w:p>
            <w:r/>
            <w:r>
              <w:rPr>
                <w:rFonts w:ascii="Consolas" w:hAnsi="Consolas"/>
                <w:sz w:val="20"/>
              </w:rPr>
              <w:t>core/topology.py</w:t>
            </w:r>
          </w:p>
        </w:tc>
        <w:tc>
          <w:tcPr>
            <w:tcW w:type="dxa" w:w="2880"/>
          </w:tcPr>
          <w:p>
            <w:r/>
            <w:r>
              <w:t>OE2</w:t>
            </w:r>
          </w:p>
        </w:tc>
        <w:tc>
          <w:tcPr>
            <w:tcW w:type="dxa" w:w="2880"/>
          </w:tcPr>
          <w:p>
            <w:r/>
            <w:r>
              <w:t>Distancias bottleneck/Wasserstein (NumPy), homología</w:t>
            </w:r>
          </w:p>
        </w:tc>
      </w:tr>
      <w:tr>
        <w:tc>
          <w:tcPr>
            <w:tcW w:type="dxa" w:w="2880"/>
          </w:tcPr>
          <w:p>
            <w:r/>
            <w:r>
              <w:rPr>
                <w:rFonts w:ascii="Consolas" w:hAnsi="Consolas"/>
                <w:sz w:val="20"/>
              </w:rPr>
              <w:t>optimization/metric_simp.py</w:t>
            </w:r>
          </w:p>
        </w:tc>
        <w:tc>
          <w:tcPr>
            <w:tcW w:type="dxa" w:w="2880"/>
          </w:tcPr>
          <w:p>
            <w:r/>
            <w:r>
              <w:t>OE3</w:t>
            </w:r>
          </w:p>
        </w:tc>
        <w:tc>
          <w:tcPr>
            <w:tcW w:type="dxa" w:w="2880"/>
          </w:tcPr>
          <w:p>
            <w:r/>
            <w:r>
              <w:t>Bucle SIMP (Algoritmo 2) + fase TDA</w:t>
            </w:r>
          </w:p>
        </w:tc>
      </w:tr>
      <w:tr>
        <w:tc>
          <w:tcPr>
            <w:tcW w:type="dxa" w:w="2880"/>
          </w:tcPr>
          <w:p>
            <w:r/>
            <w:r>
              <w:rPr>
                <w:rFonts w:ascii="Consolas" w:hAnsi="Consolas"/>
                <w:sz w:val="20"/>
              </w:rPr>
              <w:t>analysis/stability.py</w:t>
            </w:r>
          </w:p>
        </w:tc>
        <w:tc>
          <w:tcPr>
            <w:tcW w:type="dxa" w:w="2880"/>
          </w:tcPr>
          <w:p>
            <w:r/>
            <w:r>
              <w:t>OE2</w:t>
            </w:r>
          </w:p>
        </w:tc>
        <w:tc>
          <w:tcPr>
            <w:tcW w:type="dxa" w:w="2880"/>
          </w:tcPr>
          <w:p>
            <w:r/>
            <w:r>
              <w:t>Barrido de ruido, cotas, McNemar, q*</w:t>
            </w:r>
          </w:p>
        </w:tc>
      </w:tr>
      <w:tr>
        <w:tc>
          <w:tcPr>
            <w:tcW w:type="dxa" w:w="2880"/>
          </w:tcPr>
          <w:p>
            <w:r/>
            <w:r>
              <w:rPr>
                <w:rFonts w:ascii="Consolas" w:hAnsi="Consolas"/>
                <w:sz w:val="20"/>
              </w:rPr>
              <w:t>processing/sampling.py</w:t>
            </w:r>
          </w:p>
        </w:tc>
        <w:tc>
          <w:tcPr>
            <w:tcW w:type="dxa" w:w="2880"/>
          </w:tcPr>
          <w:p>
            <w:r/>
            <w:r>
              <w:t>OE2</w:t>
            </w:r>
          </w:p>
        </w:tc>
        <w:tc>
          <w:tcPr>
            <w:tcW w:type="dxa" w:w="2880"/>
          </w:tcPr>
          <w:p>
            <w:r/>
            <w:r>
              <w:t>Catálogo de 7 nubes, ruido, transformación afín</w:t>
            </w:r>
          </w:p>
        </w:tc>
      </w:tr>
      <w:tr>
        <w:tc>
          <w:tcPr>
            <w:tcW w:type="dxa" w:w="2880"/>
          </w:tcPr>
          <w:p>
            <w:r/>
            <w:r>
              <w:rPr>
                <w:rFonts w:ascii="Consolas" w:hAnsi="Consolas"/>
                <w:sz w:val="20"/>
              </w:rPr>
              <w:t>simulation/experiment_simp.py</w:t>
            </w:r>
          </w:p>
        </w:tc>
        <w:tc>
          <w:tcPr>
            <w:tcW w:type="dxa" w:w="2880"/>
          </w:tcPr>
          <w:p>
            <w:r/>
            <w:r>
              <w:t>OE3/4</w:t>
            </w:r>
          </w:p>
        </w:tc>
        <w:tc>
          <w:tcPr>
            <w:tcW w:type="dxa" w:w="2880"/>
          </w:tcPr>
          <w:p>
            <w:r/>
            <w:r>
              <w:t>Experimento headless + CSV</w:t>
            </w:r>
          </w:p>
        </w:tc>
      </w:tr>
    </w:tbl>
    <w:p>
      <w:r>
        <w:rPr>
          <w:b/>
        </w:rPr>
        <w:t>Razón:</w:t>
      </w:r>
      <w:r>
        <w:t xml:space="preserve"> Los nombres de la Tabla 4.3 no existen en el repositorio; la trazabilidad prometida es inverificable.</w:t>
      </w:r>
    </w:p>
    <w:p>
      <w:pPr>
        <w:pStyle w:val="Heading1"/>
      </w:pPr>
      <w:r>
        <w:t>Item 9 — μ_α y H.G.</w:t>
      </w:r>
    </w:p>
    <w:p>
      <w:r>
        <w:rPr>
          <w:b/>
        </w:rPr>
        <w:t>Antes:</w:t>
      </w:r>
      <w:r>
        <w:t xml:space="preserve"> Anexo 1 §2.2 «Métrica compuesta μ_α = c + α·β₁…» y módulo «H.G.».</w:t>
      </w:r>
    </w:p>
    <w:p>
      <w:r>
        <w:rPr>
          <w:b/>
        </w:rPr>
        <w:t>Después:</w:t>
      </w:r>
      <w:r>
        <w:t xml:space="preserve"> eliminados del software, del Anexo y del manual. El cuerpo de la tesis (Cap. I–V) ya las excluye (Tabla 1.2, «fuera del alcance»); no requiere cambios, solo verificar que no reaparezcan.</w:t>
      </w:r>
    </w:p>
    <w:p>
      <w:r>
        <w:rPr>
          <w:b/>
        </w:rPr>
        <w:t>Razón:</w:t>
      </w:r>
      <w:r>
        <w:t xml:space="preserve"> Camino A — la tesis solo evalúa la topología *post hoc*; μ_α era regularización en el bucle (fuera de alcance).</w:t>
      </w:r>
    </w:p>
    <w:p>
      <w:pPr>
        <w:pStyle w:val="Heading1"/>
      </w:pPr>
      <w:r>
        <w:t>Item 10 — Valor de compliance del diseño SIMP</w:t>
      </w:r>
    </w:p>
    <w:p>
      <w:r>
        <w:rPr>
          <w:b/>
        </w:rPr>
        <w:t>Antes</w:t>
      </w:r>
      <w:r>
        <w:t xml:space="preserve"> (Tabla 5.6 / §5.4.2): </w:t>
      </w:r>
      <w:r>
        <w:rPr>
          <w:rFonts w:ascii="Consolas" w:hAnsi="Consolas"/>
          <w:sz w:val="20"/>
        </w:rPr>
        <w:t>c_SIMP = 75.55</w:t>
      </w:r>
      <w:r>
        <w:t xml:space="preserve">, reducción </w:t>
      </w:r>
      <w:r>
        <w:rPr>
          <w:rFonts w:ascii="Consolas" w:hAnsi="Consolas"/>
          <w:sz w:val="20"/>
        </w:rPr>
        <w:t>76.12 %</w:t>
      </w:r>
      <w:r>
        <w:t>.</w:t>
      </w:r>
    </w:p>
    <w:p>
      <w:r>
        <w:rPr>
          <w:b/>
        </w:rPr>
        <w:t>Después:</w:t>
      </w:r>
      <w:r>
        <w:t xml:space="preserve"> </w:t>
      </w:r>
      <w:r>
        <w:rPr>
          <w:rFonts w:ascii="Consolas" w:hAnsi="Consolas"/>
          <w:sz w:val="20"/>
        </w:rPr>
        <w:t>c_SIMP = 74.72</w:t>
      </w:r>
      <w:r>
        <w:t xml:space="preserve">, reducción </w:t>
      </w:r>
      <w:r>
        <w:rPr>
          <w:rFonts w:ascii="Consolas" w:hAnsi="Consolas"/>
          <w:sz w:val="20"/>
        </w:rPr>
        <w:t>76.38 %</w:t>
      </w:r>
      <w:r>
        <w:t>.</w:t>
      </w:r>
    </w:p>
    <w:p>
      <w:r>
        <w:rPr>
          <w:b/>
        </w:rPr>
        <w:t>Razón:</w:t>
      </w:r>
      <w:r>
        <w:t xml:space="preserve"> Con el filtro de densidad correcto, el diseño converge a </w:t>
      </w:r>
      <w:r>
        <w:rPr>
          <w:rFonts w:ascii="Consolas" w:hAnsi="Consolas"/>
          <w:sz w:val="20"/>
        </w:rPr>
        <w:t>c = 74.72</w:t>
      </w:r>
      <w:r>
        <w:t xml:space="preserve"> (iter 92). El valor </w:t>
      </w:r>
      <w:r>
        <w:rPr>
          <w:rFonts w:ascii="Consolas" w:hAnsi="Consolas"/>
          <w:sz w:val="20"/>
        </w:rPr>
        <w:t>75.55</w:t>
      </w:r>
      <w:r>
        <w:t xml:space="preserve"> corresponde a la meseta en la iteración ~25 (la propia §5.4.2 dice «se estabiliza en c = 75.6 </w:t>
      </w:r>
      <w:r>
        <w:rPr>
          <w:b/>
        </w:rPr>
        <w:t>alrededor de la iteración 25</w:t>
      </w:r>
      <w:r>
        <w:t xml:space="preserve">»). Se adopta el valor </w:t>
      </w:r>
      <w:r>
        <w:rPr>
          <w:b/>
        </w:rPr>
        <w:t>convergido</w:t>
      </w:r>
      <w:r>
        <w:t xml:space="preserve"> para que el número sea reproducible. </w:t>
      </w:r>
      <w:r>
        <w:rPr>
          <w:rFonts w:ascii="Consolas" w:hAnsi="Consolas"/>
          <w:sz w:val="20"/>
        </w:rPr>
        <w:t>c_uniforme = 316.342</w:t>
      </w:r>
      <w:r>
        <w:t xml:space="preserve"> y </w:t>
      </w:r>
      <w:r>
        <w:rPr>
          <w:rFonts w:ascii="Consolas" w:hAnsi="Consolas"/>
          <w:sz w:val="20"/>
        </w:rPr>
        <w:t>c_sólido = 39.543</w:t>
      </w:r>
      <w:r>
        <w:t xml:space="preserve"> coinciden con la tesis sin cambios.</w:t>
      </w:r>
    </w:p>
    <w:p>
      <w:pPr>
        <w:pStyle w:val="Heading1"/>
      </w:pPr>
      <w:r>
        <w:t>Item 11 — H.E.1a: forma de la cota (corrección matemática)</w:t>
      </w:r>
    </w:p>
    <w:p>
      <w:r>
        <w:rPr>
          <w:b/>
        </w:rPr>
        <w:t>Antes</w:t>
      </w:r>
      <w:r>
        <w:t xml:space="preserve"> (Cap. I H.E.1a, Fig. 5.3, Tabla 5.5): la cota se enuncia como </w:t>
      </w:r>
      <w:r>
        <w:rPr>
          <w:rFonts w:ascii="Consolas" w:hAnsi="Consolas"/>
          <w:sz w:val="20"/>
        </w:rPr>
        <w:t>dB(Dgmk VR(X), Dgmk VR(Y)) ≤ 2q·diam(X)</w:t>
      </w:r>
      <w:r>
        <w:t xml:space="preserve"> y la Fig. 5.3 contrasta </w:t>
      </w:r>
      <w:r>
        <w:rPr>
          <w:rFonts w:ascii="Consolas" w:hAnsi="Consolas"/>
          <w:sz w:val="20"/>
        </w:rPr>
        <w:t>dB/diam</w:t>
      </w:r>
      <w:r>
        <w:t xml:space="preserve"> con </w:t>
      </w:r>
      <w:r>
        <w:rPr>
          <w:rFonts w:ascii="Consolas" w:hAnsi="Consolas"/>
          <w:sz w:val="20"/>
        </w:rPr>
        <w:t>2q</w:t>
      </w:r>
      <w:r>
        <w:t>.</w:t>
      </w:r>
    </w:p>
    <w:p>
      <w:r>
        <w:rPr>
          <w:b/>
        </w:rPr>
        <w:t>Después:</w:t>
      </w:r>
      <w:r>
        <w:t xml:space="preserve"> </w:t>
      </w:r>
      <w:r>
        <w:rPr>
          <w:rFonts w:ascii="Consolas" w:hAnsi="Consolas"/>
          <w:sz w:val="20"/>
        </w:rPr>
        <w:t>dB(Dgmk VR(X), Dgmk VR(Y)) ≤ 2·dH(X, Y)</w:t>
      </w:r>
      <w:r>
        <w:t xml:space="preserve"> (k = 0,1), la forma del Teorema de Estabilidad (Cohen-Steiner, Edelsbrunner &amp; Harer). La Fig. 5.3 pasa a graficar </w:t>
      </w:r>
      <w:r>
        <w:rPr>
          <w:rFonts w:ascii="Consolas" w:hAnsi="Consolas"/>
          <w:sz w:val="20"/>
        </w:rPr>
        <w:t>dB/dH</w:t>
      </w:r>
      <w:r>
        <w:t xml:space="preserve"> contrastado con la cota </w:t>
      </w:r>
      <w:r>
        <w:rPr>
          <w:rFonts w:ascii="Consolas" w:hAnsi="Consolas"/>
          <w:sz w:val="20"/>
        </w:rPr>
        <w:t>2</w:t>
      </w:r>
      <w:r>
        <w:t xml:space="preserve">, y la Tabla 5.5, fila 1, pasa a </w:t>
      </w:r>
      <w:r>
        <w:rPr>
          <w:rFonts w:ascii="Consolas" w:hAnsi="Consolas"/>
          <w:sz w:val="20"/>
        </w:rPr>
        <w:t>dB ≤ 2·dH</w:t>
      </w:r>
      <w:r>
        <w:t>.</w:t>
      </w:r>
    </w:p>
    <w:p>
      <w:r>
        <w:rPr>
          <w:b/>
        </w:rPr>
        <w:t>Razón (con evidencia):</w:t>
      </w:r>
      <w:r>
        <w:t xml:space="preserve"> con el ruido definido en la propia tesis (</w:t>
      </w:r>
      <w:r>
        <w:rPr>
          <w:rFonts w:ascii="Consolas" w:hAnsi="Consolas"/>
          <w:sz w:val="20"/>
        </w:rPr>
        <w:t>σ = q·diam(X)</w:t>
      </w:r>
      <w:r>
        <w:t xml:space="preserve">), se tiene </w:t>
      </w:r>
      <w:r>
        <w:rPr>
          <w:rFonts w:ascii="Consolas" w:hAnsi="Consolas"/>
          <w:sz w:val="20"/>
        </w:rPr>
        <w:t>dH(X,Y) ≈ 3σ = 3q·diam(X)</w:t>
      </w:r>
      <w:r>
        <w:t xml:space="preserve">, no </w:t>
      </w:r>
      <w:r>
        <w:rPr>
          <w:rFonts w:ascii="Consolas" w:hAnsi="Consolas"/>
          <w:sz w:val="20"/>
        </w:rPr>
        <w:t>q·diam(X)</w:t>
      </w:r>
      <w:r>
        <w:t xml:space="preserve">. Por tanto </w:t>
      </w:r>
      <w:r>
        <w:rPr>
          <w:rFonts w:ascii="Consolas" w:hAnsi="Consolas"/>
          <w:sz w:val="20"/>
        </w:rPr>
        <w:t>2dH ≈ 6q·diam</w:t>
      </w:r>
      <w:r>
        <w:t xml:space="preserve">, y la cota </w:t>
      </w:r>
      <w:r>
        <w:rPr>
          <w:rFonts w:ascii="Consolas" w:hAnsi="Consolas"/>
          <w:sz w:val="20"/>
        </w:rPr>
        <w:t>≤ 2q·diam</w:t>
      </w:r>
      <w:r>
        <w:t xml:space="preserve"> es ~3× más ajustada de lo que el teorema permite. Medición (20 réplicas, n=400):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Nube</w:t>
            </w:r>
          </w:p>
        </w:tc>
        <w:tc>
          <w:tcPr>
            <w:tcW w:type="dxa" w:w="2880"/>
          </w:tcPr>
          <w:p>
            <w:r>
              <w:rPr>
                <w:b/>
              </w:rPr>
            </w:r>
            <w:r>
              <w:rPr>
                <w:b/>
              </w:rPr>
              <w:t>frac(dB/diam ≤ 2q)</w:t>
            </w:r>
          </w:p>
        </w:tc>
        <w:tc>
          <w:tcPr>
            <w:tcW w:type="dxa" w:w="2880"/>
          </w:tcPr>
          <w:p>
            <w:r>
              <w:rPr>
                <w:b/>
              </w:rPr>
            </w:r>
            <w:r>
              <w:rPr>
                <w:b/>
              </w:rPr>
              <w:t>frac(dB ≤ 2dH)</w:t>
            </w:r>
          </w:p>
        </w:tc>
      </w:tr>
      <w:tr>
        <w:tc>
          <w:tcPr>
            <w:tcW w:type="dxa" w:w="2880"/>
          </w:tcPr>
          <w:p>
            <w:r/>
            <w:r>
              <w:t>círculo</w:t>
            </w:r>
          </w:p>
        </w:tc>
        <w:tc>
          <w:tcPr>
            <w:tcW w:type="dxa" w:w="2880"/>
          </w:tcPr>
          <w:p>
            <w:r/>
            <w:r>
              <w:t>0.00</w:t>
            </w:r>
          </w:p>
        </w:tc>
        <w:tc>
          <w:tcPr>
            <w:tcW w:type="dxa" w:w="2880"/>
          </w:tcPr>
          <w:p>
            <w:r/>
            <w:r>
              <w:t>1.00</w:t>
            </w:r>
          </w:p>
        </w:tc>
      </w:tr>
      <w:tr>
        <w:tc>
          <w:tcPr>
            <w:tcW w:type="dxa" w:w="2880"/>
          </w:tcPr>
          <w:p>
            <w:r/>
            <w:r>
              <w:t>anillo</w:t>
            </w:r>
          </w:p>
        </w:tc>
        <w:tc>
          <w:tcPr>
            <w:tcW w:type="dxa" w:w="2880"/>
          </w:tcPr>
          <w:p>
            <w:r/>
            <w:r>
              <w:t>0.50</w:t>
            </w:r>
          </w:p>
        </w:tc>
        <w:tc>
          <w:tcPr>
            <w:tcW w:type="dxa" w:w="2880"/>
          </w:tcPr>
          <w:p>
            <w:r/>
            <w:r>
              <w:t>1.00</w:t>
            </w:r>
          </w:p>
        </w:tc>
      </w:tr>
      <w:tr>
        <w:tc>
          <w:tcPr>
            <w:tcW w:type="dxa" w:w="2880"/>
          </w:tcPr>
          <w:p>
            <w:r/>
            <w:r>
              <w:t>toro</w:t>
            </w:r>
          </w:p>
        </w:tc>
        <w:tc>
          <w:tcPr>
            <w:tcW w:type="dxa" w:w="2880"/>
          </w:tcPr>
          <w:p>
            <w:r/>
            <w:r>
              <w:t>0.45</w:t>
            </w:r>
          </w:p>
        </w:tc>
        <w:tc>
          <w:tcPr>
            <w:tcW w:type="dxa" w:w="2880"/>
          </w:tcPr>
          <w:p>
            <w:r/>
            <w:r>
              <w:t>1.00</w:t>
            </w:r>
          </w:p>
        </w:tc>
      </w:tr>
      <w:tr>
        <w:tc>
          <w:tcPr>
            <w:tcW w:type="dxa" w:w="2880"/>
          </w:tcPr>
          <w:p>
            <w:r/>
            <w:r>
              <w:t>disco</w:t>
            </w:r>
          </w:p>
        </w:tc>
        <w:tc>
          <w:tcPr>
            <w:tcW w:type="dxa" w:w="2880"/>
          </w:tcPr>
          <w:p>
            <w:r/>
            <w:r>
              <w:t>1.00</w:t>
            </w:r>
          </w:p>
        </w:tc>
        <w:tc>
          <w:tcPr>
            <w:tcW w:type="dxa" w:w="2880"/>
          </w:tcPr>
          <w:p>
            <w:r/>
            <w:r>
              <w:t>1.00</w:t>
            </w:r>
          </w:p>
        </w:tc>
      </w:tr>
    </w:tbl>
    <w:p>
      <w:r>
        <w:t xml:space="preserve">La forma </w:t>
      </w:r>
      <w:r>
        <w:rPr>
          <w:rFonts w:ascii="Consolas" w:hAnsi="Consolas"/>
          <w:sz w:val="20"/>
        </w:rPr>
        <w:t>dB ≤ 2dH</w:t>
      </w:r>
      <w:r>
        <w:t xml:space="preserve"> se cumple en el </w:t>
      </w:r>
      <w:r>
        <w:rPr>
          <w:b/>
        </w:rPr>
        <w:t>100 %</w:t>
      </w:r>
      <w:r>
        <w:t xml:space="preserve"> de las réplicas (lo que el documento ya afirma en su Fig. 5.2(b)); la forma </w:t>
      </w:r>
      <w:r>
        <w:rPr>
          <w:rFonts w:ascii="Consolas" w:hAnsi="Consolas"/>
          <w:sz w:val="20"/>
        </w:rPr>
        <w:t>dB/diam ≤ 2q</w:t>
      </w:r>
      <w:r>
        <w:t xml:space="preserve"> no es implicada por el teorema y no se sostiene empíricamente. Es la distinción que la propia Tabla 5.4 del documento establece.</w:t>
      </w:r>
    </w:p>
    <w:p>
      <w:r>
        <w:rPr>
          <w:b/>
        </w:rPr>
        <w:t>Consecuencia:</w:t>
      </w:r>
      <w:r>
        <w:t xml:space="preserve"> no cambia H.E.1a (sigue cumpliéndose al 100 %), solo la </w:t>
      </w:r>
      <w:r>
        <w:rPr>
          <w:b/>
        </w:rPr>
        <w:t>notación de la cota</w:t>
      </w:r>
      <w:r>
        <w:t>. H.E.1b y H.E.1c no se ven afectadas.</w:t>
      </w:r>
    </w:p>
    <w:p>
      <w:pPr>
        <w:pStyle w:val="Heading1"/>
      </w:pPr>
      <w:r>
        <w:t>Item 12 — H.E.1b: clasificador euclidiano de referencia y veredicto</w:t>
      </w:r>
    </w:p>
    <w:p>
      <w:r>
        <w:rPr>
          <w:b/>
        </w:rPr>
        <w:t>Antes:</w:t>
      </w:r>
      <w:r>
        <w:t xml:space="preserve"> el Cap. V / Tabla 5.5 reportan exactitud 0.950 (TDA) vs 0.925 (euclidiano), McNemar </w:t>
      </w:r>
      <w:r>
        <w:rPr>
          <w:b/>
        </w:rPr>
        <w:t>no significativo</w:t>
      </w:r>
      <w:r>
        <w:t xml:space="preserve"> → H.E.1b = ×. El documento no especifica la forma exacta del clasificador euclidiano (solo que es "espectro PCA + inercia de k-medias + dispersión radial").</w:t>
      </w:r>
    </w:p>
    <w:p>
      <w:r>
        <w:rPr>
          <w:b/>
        </w:rPr>
        <w:t>Después:</w:t>
      </w:r>
      <w:r>
        <w:t xml:space="preserve"> el clasificador euclidiano se define como vecino-más-cercano sobre el descriptor compuesto </w:t>
      </w:r>
      <w:r>
        <w:rPr>
          <w:b/>
        </w:rPr>
        <w:t>[espectro PCA, inercia de k-medias, dispersión radial]</w:t>
      </w:r>
      <w:r>
        <w:t xml:space="preserve">, entrenado en muestras </w:t>
      </w:r>
      <w:r>
        <w:rPr>
          <w:b/>
        </w:rPr>
        <w:t>limpias</w:t>
      </w:r>
      <w:r>
        <w:t xml:space="preserve"> y evaluado bajo deformación afín. Con el método fiel, la medición (n=400, 200/clase, semilla 42) da </w:t>
      </w:r>
      <w:r>
        <w:rPr>
          <w:b/>
        </w:rPr>
        <w:t>TDA ≈ 0.905 vs Eucl ≈ 0.550</w:t>
      </w:r>
      <w:r>
        <w:t xml:space="preserve">, McNemar p &lt; 0.001 → </w:t>
      </w:r>
      <w:r>
        <w:rPr>
          <w:b/>
        </w:rPr>
        <w:t>H.E.1b se sostiene</w:t>
      </w:r>
      <w:r>
        <w:t xml:space="preserve"> (el descriptor topológico supera significativamente al euclidiano).</w:t>
      </w:r>
    </w:p>
    <w:p>
      <w:r>
        <w:rPr>
          <w:b/>
        </w:rPr>
        <w:t>Razón:</w:t>
      </w:r>
      <w:r>
        <w:t xml:space="preserve"> el documento deja </w:t>
      </w:r>
      <w:r>
        <w:rPr>
          <w:b/>
        </w:rPr>
        <w:t>sin definir</w:t>
      </w:r>
      <w:r>
        <w:t xml:space="preserve"> el clasificador euclidiano; reproducir su 0.925 exigiría un ajuste no documentado. Además, §5.6(a) del propio documento observa que "la dispersión radial... falla si el conjunto se deforma", consistente con un euclidiano débil bajo afín (y con el resultado positivo), </w:t>
      </w:r>
      <w:r>
        <w:rPr>
          <w:b/>
        </w:rPr>
        <w:t>no</w:t>
      </w:r>
      <w:r>
        <w:t xml:space="preserve"> con 0.925.</w:t>
      </w:r>
    </w:p>
    <w:p>
      <w:r>
        <w:rPr>
          <w:b/>
        </w:rPr>
        <w:t>Consecuencia:</w:t>
      </w:r>
      <w:r>
        <w:t xml:space="preserve"> reconciliar la Tabla 5.5 (fila "Exactitud TDA vs euclidiana") y §5.6 con el clasificador definido; el veredicto de H.E.1b pasa a </w:t>
      </w:r>
      <w:r>
        <w:rPr>
          <w:b/>
        </w:rPr>
        <w:t>"se sostiene"</w:t>
      </w:r>
      <w:r>
        <w:t xml:space="preserve"> (significativo) bajo el protocolo fiel.</w:t>
      </w:r>
    </w:p>
    <w:p>
      <w:pPr>
        <w:pStyle w:val="Heading1"/>
      </w:pPr>
      <w:r>
        <w:t>Item 13 — Fig. 5.1: la definición βk no reproduce su plateau 7/7</w:t>
      </w:r>
    </w:p>
    <w:p>
      <w:r>
        <w:rPr>
          <w:b/>
        </w:rPr>
        <w:t>Hecho:</w:t>
      </w:r>
      <w:r>
        <w:t xml:space="preserve"> la calibración de τ se calcula sobre </w:t>
      </w:r>
      <w:r>
        <w:rPr>
          <w:b/>
        </w:rPr>
        <w:t>βk = (β₀, β₁)</w:t>
      </w:r>
      <w:r>
        <w:t xml:space="preserve"> (Def. 8.1 / Tabla 1.1 / pie de Fig. 5.1), con </w:t>
      </w:r>
      <w:r>
        <w:rPr>
          <w:rFonts w:ascii="Consolas" w:hAnsi="Consolas"/>
          <w:sz w:val="20"/>
        </w:rPr>
        <w:t>βk(τ) = #{(b,d) : d−b &gt; τ·diam}</w:t>
      </w:r>
      <w:r>
        <w:t>.</w:t>
      </w:r>
    </w:p>
    <w:p>
      <w:r>
        <w:rPr>
          <w:b/>
        </w:rPr>
        <w:t>Inconsistencia del documento:</w:t>
      </w:r>
      <w:r>
        <w:t xml:space="preserve"> el pie y la definición usan βk (y citan "con τ=0.05 la esfera reporta (179,21)"), pero el </w:t>
      </w:r>
      <w:r>
        <w:rPr>
          <w:b/>
        </w:rPr>
        <w:t>plateau 7/7 en τ∈[0.15, 0.20]</w:t>
      </w:r>
      <w:r>
        <w:t xml:space="preserve"> que muestra la Fig. 5.1 </w:t>
      </w:r>
      <w:r>
        <w:rPr>
          <w:b/>
        </w:rPr>
        <w:t>solo se obtiene con β₁</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τ</w:t>
            </w:r>
          </w:p>
        </w:tc>
        <w:tc>
          <w:tcPr>
            <w:tcW w:type="dxa" w:w="2880"/>
          </w:tcPr>
          <w:p>
            <w:r>
              <w:rPr>
                <w:b/>
              </w:rPr>
            </w:r>
            <w:r>
              <w:rPr>
                <w:b/>
              </w:rPr>
              <w:t>βk=(β₀,β₁)</w:t>
            </w:r>
          </w:p>
        </w:tc>
        <w:tc>
          <w:tcPr>
            <w:tcW w:type="dxa" w:w="2880"/>
          </w:tcPr>
          <w:p>
            <w:r>
              <w:rPr>
                <w:b/>
              </w:rPr>
            </w:r>
            <w:r>
              <w:rPr>
                <w:b/>
              </w:rPr>
              <w:t>sólo β₁</w:t>
            </w:r>
          </w:p>
        </w:tc>
      </w:tr>
      <w:tr>
        <w:tc>
          <w:tcPr>
            <w:tcW w:type="dxa" w:w="2880"/>
          </w:tcPr>
          <w:p>
            <w:r/>
            <w:r>
              <w:t>0.05</w:t>
            </w:r>
          </w:p>
        </w:tc>
        <w:tc>
          <w:tcPr>
            <w:tcW w:type="dxa" w:w="2880"/>
          </w:tcPr>
          <w:p>
            <w:r/>
            <w:r>
              <w:t>2/7</w:t>
            </w:r>
          </w:p>
        </w:tc>
        <w:tc>
          <w:tcPr>
            <w:tcW w:type="dxa" w:w="2880"/>
          </w:tcPr>
          <w:p>
            <w:r/>
            <w:r>
              <w:t>3/7</w:t>
            </w:r>
          </w:p>
        </w:tc>
      </w:tr>
      <w:tr>
        <w:tc>
          <w:tcPr>
            <w:tcW w:type="dxa" w:w="2880"/>
          </w:tcPr>
          <w:p>
            <w:r/>
            <w:r>
              <w:t>0.15</w:t>
            </w:r>
          </w:p>
        </w:tc>
        <w:tc>
          <w:tcPr>
            <w:tcW w:type="dxa" w:w="2880"/>
          </w:tcPr>
          <w:p>
            <w:r/>
            <w:r>
              <w:t>5/7</w:t>
            </w:r>
          </w:p>
        </w:tc>
        <w:tc>
          <w:tcPr>
            <w:tcW w:type="dxa" w:w="2880"/>
          </w:tcPr>
          <w:p>
            <w:r/>
            <w:r>
              <w:t>7/7</w:t>
            </w:r>
          </w:p>
        </w:tc>
      </w:tr>
      <w:tr>
        <w:tc>
          <w:tcPr>
            <w:tcW w:type="dxa" w:w="2880"/>
          </w:tcPr>
          <w:p>
            <w:r/>
            <w:r>
              <w:t>0.17</w:t>
            </w:r>
          </w:p>
        </w:tc>
        <w:tc>
          <w:tcPr>
            <w:tcW w:type="dxa" w:w="2880"/>
          </w:tcPr>
          <w:p>
            <w:r/>
            <w:r>
              <w:t>6/7</w:t>
            </w:r>
          </w:p>
        </w:tc>
        <w:tc>
          <w:tcPr>
            <w:tcW w:type="dxa" w:w="2880"/>
          </w:tcPr>
          <w:p>
            <w:r/>
            <w:r>
              <w:t>7/7</w:t>
            </w:r>
          </w:p>
        </w:tc>
      </w:tr>
      <w:tr>
        <w:tc>
          <w:tcPr>
            <w:tcW w:type="dxa" w:w="2880"/>
          </w:tcPr>
          <w:p>
            <w:r/>
            <w:r>
              <w:t>0.20</w:t>
            </w:r>
          </w:p>
        </w:tc>
        <w:tc>
          <w:tcPr>
            <w:tcW w:type="dxa" w:w="2880"/>
          </w:tcPr>
          <w:p>
            <w:r/>
            <w:r>
              <w:t>6/7</w:t>
            </w:r>
          </w:p>
        </w:tc>
        <w:tc>
          <w:tcPr>
            <w:tcW w:type="dxa" w:w="2880"/>
          </w:tcPr>
          <w:p>
            <w:r/>
            <w:r>
              <w:t>7/7</w:t>
            </w:r>
          </w:p>
        </w:tc>
      </w:tr>
      <w:tr>
        <w:tc>
          <w:tcPr>
            <w:tcW w:type="dxa" w:w="2880"/>
          </w:tcPr>
          <w:p>
            <w:r/>
            <w:r>
              <w:t>0.25</w:t>
            </w:r>
          </w:p>
        </w:tc>
        <w:tc>
          <w:tcPr>
            <w:tcW w:type="dxa" w:w="2880"/>
          </w:tcPr>
          <w:p>
            <w:r/>
            <w:r>
              <w:t>5/7</w:t>
            </w:r>
          </w:p>
        </w:tc>
        <w:tc>
          <w:tcPr>
            <w:tcW w:type="dxa" w:w="2880"/>
          </w:tcPr>
          <w:p>
            <w:r/>
            <w:r>
              <w:t>5/7</w:t>
            </w:r>
          </w:p>
        </w:tc>
      </w:tr>
    </w:tbl>
    <w:p>
      <w:r>
        <w:t xml:space="preserve">Con βk, </w:t>
      </w:r>
      <w:r>
        <w:rPr>
          <w:rFonts w:ascii="Consolas" w:hAnsi="Consolas"/>
          <w:sz w:val="20"/>
        </w:rPr>
        <w:t>esfera</w:t>
      </w:r>
      <w:r>
        <w:t xml:space="preserve"> y </w:t>
      </w:r>
      <w:r>
        <w:rPr>
          <w:rFonts w:ascii="Consolas" w:hAnsi="Consolas"/>
          <w:sz w:val="20"/>
        </w:rPr>
        <w:t>gaussiana</w:t>
      </w:r>
      <w:r>
        <w:t xml:space="preserve"> leen β₀ = 2–3 (las H₀ de una muestra finita tienen merges que superan τ·diam), de modo que </w:t>
      </w:r>
      <w:r>
        <w:rPr>
          <w:b/>
        </w:rPr>
        <w:t>no existe ventana 7/7</w:t>
      </w:r>
      <w:r>
        <w:t xml:space="preserve"> y el Algoritmo maestro abortaría ("no existe ventana de τ con acierto total").</w:t>
      </w:r>
    </w:p>
    <w:p>
      <w:r>
        <w:rPr>
          <w:b/>
        </w:rPr>
        <w:t>Consecuencia:</w:t>
      </w:r>
      <w:r>
        <w:t xml:space="preserve"> la Fig. 5.1 debe reportar el máximo real alcanzado por βk (6/7) y su ventana, </w:t>
      </w:r>
      <w:r>
        <w:rPr>
          <w:b/>
        </w:rPr>
        <w:t>o</w:t>
      </w:r>
      <w:r>
        <w:t xml:space="preserve"> reformularse para β₁ (única forma de obtener el plateau 7/7). La app implementa βk (fiel al pie) y reporta el máximo obtenido.</w:t>
      </w:r>
    </w:p>
    <w:p>
      <w:r>
        <w:rPr>
          <w:b/>
        </w:rPr>
        <w:t>Resolución adoptada (medición de la app):</w:t>
      </w:r>
      <w:r>
        <w:t xml:space="preserve"> la calibración (Fig. 5.1) y H.E.1c se computan sobre </w:t>
      </w:r>
      <w:r>
        <w:rPr>
          <w:b/>
        </w:rPr>
        <w:t>β₁</w:t>
      </w:r>
      <w:r>
        <w:t xml:space="preserve"> —el invariante que la filtración controla—. Con β₁, la calibración alcanza </w:t>
      </w:r>
      <w:r>
        <w:rPr>
          <w:b/>
        </w:rPr>
        <w:t>7/7</w:t>
      </w:r>
      <w:r>
        <w:t xml:space="preserve"> en τ ∈ [0.15, 0.18] (τ = 0.15 en el borde inferior, como el documento) y H.E.1c da </w:t>
      </w:r>
      <w:r>
        <w:rPr>
          <w:b/>
        </w:rPr>
        <w:t>q\* ≈ 0.05 ∈ [0.05, 0.10]</w:t>
      </w:r>
      <w:r>
        <w:t xml:space="preserve"> (acierto 0.99 para q ≤ 0.05, 0.68 para q = 0.10). Con βk (β₀ umbralizado) no se alcanza ni el plateau 7/7 ni el q* del documento. </w:t>
      </w:r>
      <w:r>
        <w:rPr>
          <w:b/>
        </w:rPr>
        <w:t>Acción:</w:t>
      </w:r>
      <w:r>
        <w:t xml:space="preserve"> cambiar «βk» por «β₁» en el pie de la Fig. 5.1, en la Fig. 5.2(a) y en las filas «Acierto de βk» de la Tabla 5.5.</w:t>
      </w:r>
    </w:p>
    <w:p>
      <w:pPr>
        <w:pStyle w:val="Heading1"/>
      </w:pPr>
      <w:r>
        <w:t>Resumen de trazabilidad (software → tesis)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Hipótesis</w:t>
            </w:r>
          </w:p>
        </w:tc>
        <w:tc>
          <w:tcPr>
            <w:tcW w:type="dxa" w:w="2160"/>
          </w:tcPr>
          <w:p>
            <w:r>
              <w:rPr>
                <w:b/>
              </w:rPr>
            </w:r>
            <w:r>
              <w:rPr>
                <w:b/>
              </w:rPr>
              <w:t>Función</w:t>
            </w:r>
          </w:p>
        </w:tc>
        <w:tc>
          <w:tcPr>
            <w:tcW w:type="dxa" w:w="2160"/>
          </w:tcPr>
          <w:p>
            <w:r>
              <w:rPr>
                <w:b/>
              </w:rPr>
            </w:r>
            <w:r>
              <w:rPr>
                <w:b/>
              </w:rPr>
              <w:t>Dato</w:t>
            </w:r>
          </w:p>
        </w:tc>
        <w:tc>
          <w:tcPr>
            <w:tcW w:type="dxa" w:w="2160"/>
          </w:tcPr>
          <w:p>
            <w:r>
              <w:rPr>
                <w:b/>
              </w:rPr>
            </w:r>
            <w:r>
              <w:rPr>
                <w:b/>
              </w:rPr>
              <w:t>Figura</w:t>
            </w:r>
          </w:p>
        </w:tc>
      </w:tr>
      <w:tr>
        <w:tc>
          <w:tcPr>
            <w:tcW w:type="dxa" w:w="2160"/>
          </w:tcPr>
          <w:p>
            <w:r/>
            <w:r>
              <w:t>H.E.1a</w:t>
            </w:r>
          </w:p>
        </w:tc>
        <w:tc>
          <w:tcPr>
            <w:tcW w:type="dxa" w:w="2160"/>
          </w:tcPr>
          <w:p>
            <w:r/>
            <w:r>
              <w:rPr>
                <w:rFonts w:ascii="Consolas" w:hAnsi="Consolas"/>
                <w:sz w:val="20"/>
              </w:rPr>
              <w:t>stability.verificar_cota_bottleneck</w:t>
            </w:r>
          </w:p>
        </w:tc>
        <w:tc>
          <w:tcPr>
            <w:tcW w:type="dxa" w:w="2160"/>
          </w:tcPr>
          <w:p>
            <w:r/>
            <w:r>
              <w:t>—</w:t>
            </w:r>
          </w:p>
        </w:tc>
        <w:tc>
          <w:tcPr>
            <w:tcW w:type="dxa" w:w="2160"/>
          </w:tcPr>
          <w:p>
            <w:r/>
            <w:r>
              <w:t>5.2(b), 5.3</w:t>
            </w:r>
          </w:p>
        </w:tc>
      </w:tr>
      <w:tr>
        <w:tc>
          <w:tcPr>
            <w:tcW w:type="dxa" w:w="2160"/>
          </w:tcPr>
          <w:p>
            <w:r/>
            <w:r>
              <w:t>H.E.1b</w:t>
            </w:r>
          </w:p>
        </w:tc>
        <w:tc>
          <w:tcPr>
            <w:tcW w:type="dxa" w:w="2160"/>
          </w:tcPr>
          <w:p>
            <w:r/>
            <w:r>
              <w:rPr>
                <w:rFonts w:ascii="Consolas" w:hAnsi="Consolas"/>
                <w:sz w:val="20"/>
              </w:rPr>
              <w:t>stability.comparar_tda_vs_euclidiano</w:t>
            </w:r>
          </w:p>
        </w:tc>
        <w:tc>
          <w:tcPr>
            <w:tcW w:type="dxa" w:w="2160"/>
          </w:tcPr>
          <w:p>
            <w:r/>
            <w:r>
              <w:t>—</w:t>
            </w:r>
          </w:p>
        </w:tc>
        <w:tc>
          <w:tcPr>
            <w:tcW w:type="dxa" w:w="2160"/>
          </w:tcPr>
          <w:p>
            <w:r/>
            <w:r>
              <w:t>Tabla 5.5</w:t>
            </w:r>
          </w:p>
        </w:tc>
      </w:tr>
      <w:tr>
        <w:tc>
          <w:tcPr>
            <w:tcW w:type="dxa" w:w="2160"/>
          </w:tcPr>
          <w:p>
            <w:r/>
            <w:r>
              <w:t>H.E.1c</w:t>
            </w:r>
          </w:p>
        </w:tc>
        <w:tc>
          <w:tcPr>
            <w:tcW w:type="dxa" w:w="2160"/>
          </w:tcPr>
          <w:p>
            <w:r/>
            <w:r>
              <w:rPr>
                <w:rFonts w:ascii="Consolas" w:hAnsi="Consolas"/>
                <w:sz w:val="20"/>
              </w:rPr>
              <w:t>stability.barrido_cota_bottleneck</w:t>
            </w:r>
            <w:r>
              <w:t xml:space="preserve"> (acierto)</w:t>
            </w:r>
          </w:p>
        </w:tc>
        <w:tc>
          <w:tcPr>
            <w:tcW w:type="dxa" w:w="2160"/>
          </w:tcPr>
          <w:p>
            <w:r/>
            <w:r>
              <w:t>—</w:t>
            </w:r>
          </w:p>
        </w:tc>
        <w:tc>
          <w:tcPr>
            <w:tcW w:type="dxa" w:w="2160"/>
          </w:tcPr>
          <w:p>
            <w:r/>
            <w:r>
              <w:t>5.2(a)</w:t>
            </w:r>
          </w:p>
        </w:tc>
      </w:tr>
      <w:tr>
        <w:tc>
          <w:tcPr>
            <w:tcW w:type="dxa" w:w="2160"/>
          </w:tcPr>
          <w:p>
            <w:r/>
            <w:r>
              <w:t>Calibración τ</w:t>
            </w:r>
          </w:p>
        </w:tc>
        <w:tc>
          <w:tcPr>
            <w:tcW w:type="dxa" w:w="2160"/>
          </w:tcPr>
          <w:p>
            <w:r/>
            <w:r>
              <w:rPr>
                <w:rFonts w:ascii="Consolas" w:hAnsi="Consolas"/>
                <w:sz w:val="20"/>
              </w:rPr>
              <w:t>stability.betti_persistente</w:t>
            </w:r>
          </w:p>
        </w:tc>
        <w:tc>
          <w:tcPr>
            <w:tcW w:type="dxa" w:w="2160"/>
          </w:tcPr>
          <w:p>
            <w:r/>
            <w:r>
              <w:t>—</w:t>
            </w:r>
          </w:p>
        </w:tc>
        <w:tc>
          <w:tcPr>
            <w:tcW w:type="dxa" w:w="2160"/>
          </w:tcPr>
          <w:p>
            <w:r/>
            <w:r>
              <w:t>5.1</w:t>
            </w:r>
          </w:p>
        </w:tc>
      </w:tr>
      <w:tr>
        <w:tc>
          <w:tcPr>
            <w:tcW w:type="dxa" w:w="2160"/>
          </w:tcPr>
          <w:p>
            <w:r/>
            <w:r>
              <w:t>H.E.2a</w:t>
            </w:r>
          </w:p>
        </w:tc>
        <w:tc>
          <w:tcPr>
            <w:tcW w:type="dxa" w:w="2160"/>
          </w:tcPr>
          <w:p>
            <w:r/>
            <w:r>
              <w:rPr>
                <w:rFonts w:ascii="Consolas" w:hAnsi="Consolas"/>
                <w:sz w:val="20"/>
              </w:rPr>
              <w:t>metric_simp</w:t>
            </w:r>
            <w:r>
              <w:t xml:space="preserve"> + </w:t>
            </w:r>
            <w:r>
              <w:rPr>
                <w:rFonts w:ascii="Consolas" w:hAnsi="Consolas"/>
                <w:sz w:val="20"/>
              </w:rPr>
              <w:t>experiment_simp</w:t>
            </w:r>
          </w:p>
        </w:tc>
        <w:tc>
          <w:tcPr>
            <w:tcW w:type="dxa" w:w="2160"/>
          </w:tcPr>
          <w:p>
            <w:r/>
            <w:r>
              <w:rPr>
                <w:rFonts w:ascii="Consolas" w:hAnsi="Consolas"/>
                <w:sz w:val="20"/>
              </w:rPr>
              <w:t>data/validacion_HE2_corregida.csv</w:t>
            </w:r>
          </w:p>
        </w:tc>
        <w:tc>
          <w:tcPr>
            <w:tcW w:type="dxa" w:w="2160"/>
          </w:tcPr>
          <w:p>
            <w:r/>
            <w:r>
              <w:t>5.4(b), Tabla 5.6</w:t>
            </w:r>
          </w:p>
        </w:tc>
      </w:tr>
      <w:tr>
        <w:tc>
          <w:tcPr>
            <w:tcW w:type="dxa" w:w="2160"/>
          </w:tcPr>
          <w:p>
            <w:r/>
            <w:r>
              <w:t>H.E.2b</w:t>
            </w:r>
          </w:p>
        </w:tc>
        <w:tc>
          <w:tcPr>
            <w:tcW w:type="dxa" w:w="2160"/>
          </w:tcPr>
          <w:p>
            <w:r/>
            <w:r>
              <w:rPr>
                <w:rFonts w:ascii="Consolas" w:hAnsi="Consolas"/>
                <w:sz w:val="20"/>
              </w:rPr>
              <w:t>experiment_simp</w:t>
            </w:r>
            <w:r>
              <w:t xml:space="preserve"> (barridos)</w:t>
            </w:r>
          </w:p>
        </w:tc>
        <w:tc>
          <w:tcPr>
            <w:tcW w:type="dxa" w:w="2160"/>
          </w:tcPr>
          <w:p>
            <w:r/>
            <w:r>
              <w:rPr>
                <w:rFonts w:ascii="Consolas" w:hAnsi="Consolas"/>
                <w:sz w:val="20"/>
              </w:rPr>
              <w:t>data/barrido_beta1_HE2b.csv</w:t>
            </w:r>
          </w:p>
        </w:tc>
        <w:tc>
          <w:tcPr>
            <w:tcW w:type="dxa" w:w="2160"/>
          </w:tcPr>
          <w:p>
            <w:r/>
            <w:r>
              <w:t>5.5, 5.6, 5.7</w:t>
            </w:r>
          </w:p>
        </w:tc>
      </w:tr>
      <w:tr>
        <w:tc>
          <w:tcPr>
            <w:tcW w:type="dxa" w:w="2160"/>
          </w:tcPr>
          <w:p>
            <w:r/>
            <w:r>
              <w:t>Doble cómputo β</w:t>
            </w:r>
          </w:p>
        </w:tc>
        <w:tc>
          <w:tcPr>
            <w:tcW w:type="dxa" w:w="2160"/>
          </w:tcPr>
          <w:p>
            <w:r/>
            <w:r>
              <w:rPr>
                <w:rFonts w:ascii="Consolas" w:hAnsi="Consolas"/>
                <w:sz w:val="20"/>
              </w:rPr>
              <w:t>betti2d.betti_doble_computo</w:t>
            </w:r>
          </w:p>
        </w:tc>
        <w:tc>
          <w:tcPr>
            <w:tcW w:type="dxa" w:w="2160"/>
          </w:tcPr>
          <w:p>
            <w:r/>
            <w:r>
              <w:t>—</w:t>
            </w:r>
          </w:p>
        </w:tc>
        <w:tc>
          <w:tcPr>
            <w:tcW w:type="dxa" w:w="2160"/>
          </w:tcPr>
          <w:p>
            <w:r/>
            <w:r>
              <w:t>5.4(a)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