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pPr>
    </w:p>
    <w:p>
      <w:pPr>
        <w:spacing w:line="480" w:lineRule="auto"/>
        <w:jc w:val="center"/>
      </w:pPr>
      <w:r>
        <w:rPr>
          <w:rFonts w:ascii="Times New Roman" w:hAnsi="Times New Roman"/>
          <w:b/>
          <w:sz w:val="40"/>
        </w:rPr>
        <w:t>DOCUMENTACION TECNICA</w:t>
      </w:r>
    </w:p>
    <w:p>
      <w:pPr>
        <w:spacing w:line="480" w:lineRule="auto"/>
        <w:jc w:val="center"/>
      </w:pPr>
      <w:r>
        <w:rPr>
          <w:rFonts w:ascii="Times New Roman" w:hAnsi="Times New Roman"/>
          <w:sz w:val="28"/>
        </w:rPr>
        <w:t>Plataforma TDA-SIMP</w:t>
        <w:br/>
        <w:t>Arquitectura, Algoritmos y Validacion de Hipotesis</w:t>
      </w:r>
    </w:p>
    <w:p>
      <w:pPr>
        <w:spacing w:line="480" w:lineRule="auto"/>
      </w:pPr>
    </w:p>
    <w:p>
      <w:pPr>
        <w:spacing w:line="480" w:lineRule="auto"/>
      </w:pPr>
    </w:p>
    <w:p>
      <w:pPr>
        <w:spacing w:line="480" w:lineRule="auto"/>
      </w:pPr>
    </w:p>
    <w:p>
      <w:pPr>
        <w:spacing w:line="480" w:lineRule="auto"/>
        <w:jc w:val="center"/>
      </w:pPr>
      <w:r>
        <w:rPr>
          <w:rFonts w:ascii="Times New Roman" w:hAnsi="Times New Roman"/>
          <w:b/>
          <w:sz w:val="28"/>
        </w:rPr>
        <w:t>Jorge Larry Copa Cruz</w:t>
      </w:r>
    </w:p>
    <w:p>
      <w:pPr>
        <w:spacing w:line="480" w:lineRule="auto"/>
        <w:jc w:val="center"/>
      </w:pPr>
      <w:r>
        <w:rPr>
          <w:rFonts w:ascii="Times New Roman" w:hAnsi="Times New Roman"/>
          <w:sz w:val="24"/>
        </w:rPr>
        <w:t>Maestria en Matematica — Universidad Autonoma Gabriel Rene Moreno</w:t>
        <w:br/>
        <w:t>2026</w:t>
      </w:r>
    </w:p>
    <w:p>
      <w:r>
        <w:br w:type="page"/>
      </w:r>
    </w:p>
    <w:p>
      <w:pPr>
        <w:pStyle w:val="Heading1"/>
      </w:pPr>
      <w:r>
        <w:t>Tabla de Contenidos</w:t>
      </w:r>
    </w:p>
    <w:p>
      <w:pPr>
        <w:jc w:val="center"/>
      </w:pPr>
      <w:r>
        <w:rPr>
          <w:rFonts w:ascii="Times New Roman" w:hAnsi="Times New Roman"/>
          <w:i/>
          <w:color w:val="999999"/>
          <w:sz w:val="22"/>
        </w:rPr>
        <w:t>[Actualizar campo de tabla de contenidos en Word]</w:t>
      </w:r>
    </w:p>
    <w:p>
      <w:r>
        <w:fldChar w:fldCharType="begin"/>
      </w:r>
      <w:r>
        <w:instrText xml:space="preserve"> TOC \o "1-3" \h \z \u </w:instrText>
      </w:r>
      <w:r>
        <w:fldChar w:fldCharType="end"/>
      </w:r>
    </w:p>
    <w:p>
      <w:r>
        <w:br w:type="page"/>
      </w:r>
    </w:p>
    <w:p>
      <w:pPr>
        <w:pStyle w:val="Heading1"/>
      </w:pPr>
      <w:r>
        <w:t>1. Arquitectura del Sistema</w:t>
      </w:r>
    </w:p>
    <w:p>
      <w:r>
        <w:t>La Plataforma TDA-SIMP sigue una arquitectura modular con separacion clara entre logica de dominio, optimizacion, analisis topologico e interfaz de usuario. Esta separacion facilita el mantenimiento, las pruebas y la extension futura del sistema.</w:t>
      </w:r>
    </w:p>
    <w:p>
      <w:pPr>
        <w:pStyle w:val="Heading2"/>
      </w:pPr>
      <w:r>
        <w:t>1.1 Estructura de directorios</w:t>
      </w:r>
    </w:p>
    <w:p>
      <w:r>
        <w:t>El proyecto se organiza en el siguiente arbol de directorios:</w:t>
      </w:r>
    </w:p>
    <w:p>
      <w:r>
        <w:rPr>
          <w:rFonts w:ascii="Courier New" w:hAnsi="Courier New"/>
          <w:sz w:val="18"/>
        </w:rPr>
        <w:t>src/tda/</w:t>
        <w:br/>
        <w:t xml:space="preserve">  app/                         # Interfaz de usuario (Streamlit)</w:t>
        <w:br/>
        <w:t xml:space="preserve">    plataforma_tda_simp.py       # Pagina principal (landing)</w:t>
        <w:br/>
        <w:t xml:space="preserve">    pages/                       # Cuatro modulos de analisis</w:t>
        <w:br/>
        <w:t xml:space="preserve">    theme.py                     # Estilos, fuentes, responsive</w:t>
        <w:br/>
        <w:t xml:space="preserve">    download_utils.py            # Exportacion de archivos</w:t>
        <w:br/>
        <w:t xml:space="preserve">  core/                        # Logica de dominio</w:t>
        <w:br/>
        <w:t xml:space="preserve">    betti.py / betti2d.py        # Calculo de numeros de Betti</w:t>
        <w:br/>
        <w:t xml:space="preserve">    topology.py                  # Wasserstein, bottleneck (numpy puro)</w:t>
        <w:br/>
        <w:t xml:space="preserve">    metric.py                    # Metricas topologicas</w:t>
        <w:br/>
        <w:t xml:space="preserve">    fem.py                       # Solver FEM 2D</w:t>
        <w:br/>
        <w:t xml:space="preserve">  optimization/                # Modulo de optimizacion</w:t>
        <w:br/>
        <w:t xml:space="preserve">    metric_simp.py               # MetricaTDA_SIMP</w:t>
        <w:br/>
        <w:t xml:space="preserve">    beam_optimizer.py            # Optimizador de viga 1D</w:t>
        <w:br/>
        <w:t xml:space="preserve">  analysis/                    # Analisis de robustez</w:t>
        <w:br/>
        <w:t xml:space="preserve">    stability.py                 # Sweep de ruido, Hausdorff</w:t>
        <w:br/>
        <w:t xml:space="preserve">  simulation/                  # Pipeline de simulacion</w:t>
        <w:br/>
        <w:t xml:space="preserve">    pipeline.py                  # Pipeline TDA completo</w:t>
      </w:r>
    </w:p>
    <w:p>
      <w:pPr>
        <w:pStyle w:val="Heading2"/>
      </w:pPr>
      <w:r>
        <w:t>1.2 Dependencias principales</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2F3"/>
          </w:tcPr>
          <w:p>
            <w:pPr>
              <w:jc w:val="center"/>
            </w:pPr>
            <w:r/>
            <w:r>
              <w:rPr>
                <w:rFonts w:ascii="Times New Roman" w:hAnsi="Times New Roman"/>
                <w:b/>
                <w:sz w:val="20"/>
              </w:rPr>
              <w:t>Paquete</w:t>
            </w:r>
          </w:p>
        </w:tc>
        <w:tc>
          <w:tcPr>
            <w:tcW w:type="dxa" w:w="2946"/>
            <w:shd w:fill="D9E2F3"/>
          </w:tcPr>
          <w:p>
            <w:pPr>
              <w:jc w:val="center"/>
            </w:pPr>
            <w:r/>
            <w:r>
              <w:rPr>
                <w:rFonts w:ascii="Times New Roman" w:hAnsi="Times New Roman"/>
                <w:b/>
                <w:sz w:val="20"/>
              </w:rPr>
              <w:t>Version</w:t>
            </w:r>
          </w:p>
        </w:tc>
        <w:tc>
          <w:tcPr>
            <w:tcW w:type="dxa" w:w="2946"/>
            <w:shd w:fill="D9E2F3"/>
          </w:tcPr>
          <w:p>
            <w:pPr>
              <w:jc w:val="center"/>
            </w:pPr>
            <w:r/>
            <w:r>
              <w:rPr>
                <w:rFonts w:ascii="Times New Roman" w:hAnsi="Times New Roman"/>
                <w:b/>
                <w:sz w:val="20"/>
              </w:rPr>
              <w:t>Funcion en el sistema</w:t>
            </w:r>
          </w:p>
        </w:tc>
      </w:tr>
      <w:tr>
        <w:tc>
          <w:tcPr>
            <w:tcW w:type="dxa" w:w="2946"/>
          </w:tcPr>
          <w:p>
            <w:r/>
            <w:r>
              <w:rPr>
                <w:rFonts w:ascii="Times New Roman" w:hAnsi="Times New Roman"/>
                <w:sz w:val="20"/>
              </w:rPr>
              <w:t>streamlit</w:t>
            </w:r>
          </w:p>
        </w:tc>
        <w:tc>
          <w:tcPr>
            <w:tcW w:type="dxa" w:w="2946"/>
          </w:tcPr>
          <w:p>
            <w:r/>
            <w:r>
              <w:rPr>
                <w:rFonts w:ascii="Times New Roman" w:hAnsi="Times New Roman"/>
                <w:sz w:val="20"/>
              </w:rPr>
              <w:t>&gt;=1.38</w:t>
            </w:r>
          </w:p>
        </w:tc>
        <w:tc>
          <w:tcPr>
            <w:tcW w:type="dxa" w:w="2946"/>
          </w:tcPr>
          <w:p>
            <w:r/>
            <w:r>
              <w:rPr>
                <w:rFonts w:ascii="Times New Roman" w:hAnsi="Times New Roman"/>
                <w:sz w:val="20"/>
              </w:rPr>
              <w:t>Framework de interfaz web interactiva</w:t>
            </w:r>
          </w:p>
        </w:tc>
      </w:tr>
      <w:tr>
        <w:tc>
          <w:tcPr>
            <w:tcW w:type="dxa" w:w="2946"/>
          </w:tcPr>
          <w:p>
            <w:r/>
            <w:r>
              <w:rPr>
                <w:rFonts w:ascii="Times New Roman" w:hAnsi="Times New Roman"/>
                <w:sz w:val="20"/>
              </w:rPr>
              <w:t>numpy</w:t>
            </w:r>
          </w:p>
        </w:tc>
        <w:tc>
          <w:tcPr>
            <w:tcW w:type="dxa" w:w="2946"/>
          </w:tcPr>
          <w:p>
            <w:r/>
            <w:r>
              <w:rPr>
                <w:rFonts w:ascii="Times New Roman" w:hAnsi="Times New Roman"/>
                <w:sz w:val="20"/>
              </w:rPr>
              <w:t>&gt;=2.1</w:t>
            </w:r>
          </w:p>
        </w:tc>
        <w:tc>
          <w:tcPr>
            <w:tcW w:type="dxa" w:w="2946"/>
          </w:tcPr>
          <w:p>
            <w:r/>
            <w:r>
              <w:rPr>
                <w:rFonts w:ascii="Times New Roman" w:hAnsi="Times New Roman"/>
                <w:sz w:val="20"/>
              </w:rPr>
              <w:t>Calculo numerico y algebra matricial</w:t>
            </w:r>
          </w:p>
        </w:tc>
      </w:tr>
      <w:tr>
        <w:tc>
          <w:tcPr>
            <w:tcW w:type="dxa" w:w="2946"/>
          </w:tcPr>
          <w:p>
            <w:r/>
            <w:r>
              <w:rPr>
                <w:rFonts w:ascii="Times New Roman" w:hAnsi="Times New Roman"/>
                <w:sz w:val="20"/>
              </w:rPr>
              <w:t>scipy</w:t>
            </w:r>
          </w:p>
        </w:tc>
        <w:tc>
          <w:tcPr>
            <w:tcW w:type="dxa" w:w="2946"/>
          </w:tcPr>
          <w:p>
            <w:r/>
            <w:r>
              <w:rPr>
                <w:rFonts w:ascii="Times New Roman" w:hAnsi="Times New Roman"/>
                <w:sz w:val="20"/>
              </w:rPr>
              <w:t>&gt;=1.14</w:t>
            </w:r>
          </w:p>
        </w:tc>
        <w:tc>
          <w:tcPr>
            <w:tcW w:type="dxa" w:w="2946"/>
          </w:tcPr>
          <w:p>
            <w:r/>
            <w:r>
              <w:rPr>
                <w:rFonts w:ascii="Times New Roman" w:hAnsi="Times New Roman"/>
                <w:sz w:val="20"/>
              </w:rPr>
              <w:t>Optimizacion (MMA), algebra dispersa</w:t>
            </w:r>
          </w:p>
        </w:tc>
      </w:tr>
      <w:tr>
        <w:tc>
          <w:tcPr>
            <w:tcW w:type="dxa" w:w="2946"/>
          </w:tcPr>
          <w:p>
            <w:r/>
            <w:r>
              <w:rPr>
                <w:rFonts w:ascii="Times New Roman" w:hAnsi="Times New Roman"/>
                <w:sz w:val="20"/>
              </w:rPr>
              <w:t>scikit-learn</w:t>
            </w:r>
          </w:p>
        </w:tc>
        <w:tc>
          <w:tcPr>
            <w:tcW w:type="dxa" w:w="2946"/>
          </w:tcPr>
          <w:p>
            <w:r/>
            <w:r>
              <w:rPr>
                <w:rFonts w:ascii="Times New Roman" w:hAnsi="Times New Roman"/>
                <w:sz w:val="20"/>
              </w:rPr>
              <w:t>&gt;=1.5</w:t>
            </w:r>
          </w:p>
        </w:tc>
        <w:tc>
          <w:tcPr>
            <w:tcW w:type="dxa" w:w="2946"/>
          </w:tcPr>
          <w:p>
            <w:r/>
            <w:r>
              <w:rPr>
                <w:rFonts w:ascii="Times New Roman" w:hAnsi="Times New Roman"/>
                <w:sz w:val="20"/>
              </w:rPr>
              <w:t>Clustering (K-medias), PCA</w:t>
            </w:r>
          </w:p>
        </w:tc>
      </w:tr>
      <w:tr>
        <w:tc>
          <w:tcPr>
            <w:tcW w:type="dxa" w:w="2946"/>
          </w:tcPr>
          <w:p>
            <w:r/>
            <w:r>
              <w:rPr>
                <w:rFonts w:ascii="Times New Roman" w:hAnsi="Times New Roman"/>
                <w:sz w:val="20"/>
              </w:rPr>
              <w:t>matplotlib</w:t>
            </w:r>
          </w:p>
        </w:tc>
        <w:tc>
          <w:tcPr>
            <w:tcW w:type="dxa" w:w="2946"/>
          </w:tcPr>
          <w:p>
            <w:r/>
            <w:r>
              <w:rPr>
                <w:rFonts w:ascii="Times New Roman" w:hAnsi="Times New Roman"/>
                <w:sz w:val="20"/>
              </w:rPr>
              <w:t>&gt;=3.9</w:t>
            </w:r>
          </w:p>
        </w:tc>
        <w:tc>
          <w:tcPr>
            <w:tcW w:type="dxa" w:w="2946"/>
          </w:tcPr>
          <w:p>
            <w:r/>
            <w:r>
              <w:rPr>
                <w:rFonts w:ascii="Times New Roman" w:hAnsi="Times New Roman"/>
                <w:sz w:val="20"/>
              </w:rPr>
              <w:t>Generacion de graficas estaticas</w:t>
            </w:r>
          </w:p>
        </w:tc>
      </w:tr>
      <w:tr>
        <w:tc>
          <w:tcPr>
            <w:tcW w:type="dxa" w:w="2946"/>
          </w:tcPr>
          <w:p>
            <w:r/>
            <w:r>
              <w:rPr>
                <w:rFonts w:ascii="Times New Roman" w:hAnsi="Times New Roman"/>
                <w:sz w:val="20"/>
              </w:rPr>
              <w:t>plotly</w:t>
            </w:r>
          </w:p>
        </w:tc>
        <w:tc>
          <w:tcPr>
            <w:tcW w:type="dxa" w:w="2946"/>
          </w:tcPr>
          <w:p>
            <w:r/>
            <w:r>
              <w:rPr>
                <w:rFonts w:ascii="Times New Roman" w:hAnsi="Times New Roman"/>
                <w:sz w:val="20"/>
              </w:rPr>
              <w:t>&gt;=5.24</w:t>
            </w:r>
          </w:p>
        </w:tc>
        <w:tc>
          <w:tcPr>
            <w:tcW w:type="dxa" w:w="2946"/>
          </w:tcPr>
          <w:p>
            <w:r/>
            <w:r>
              <w:rPr>
                <w:rFonts w:ascii="Times New Roman" w:hAnsi="Times New Roman"/>
                <w:sz w:val="20"/>
              </w:rPr>
              <w:t>Generacion de graficas interactivas</w:t>
            </w:r>
          </w:p>
        </w:tc>
      </w:tr>
      <w:tr>
        <w:tc>
          <w:tcPr>
            <w:tcW w:type="dxa" w:w="2946"/>
          </w:tcPr>
          <w:p>
            <w:r/>
            <w:r>
              <w:rPr>
                <w:rFonts w:ascii="Times New Roman" w:hAnsi="Times New Roman"/>
                <w:sz w:val="20"/>
              </w:rPr>
              <w:t>gudhi</w:t>
            </w:r>
          </w:p>
        </w:tc>
        <w:tc>
          <w:tcPr>
            <w:tcW w:type="dxa" w:w="2946"/>
          </w:tcPr>
          <w:p>
            <w:r/>
            <w:r>
              <w:rPr>
                <w:rFonts w:ascii="Times New Roman" w:hAnsi="Times New Roman"/>
                <w:sz w:val="20"/>
              </w:rPr>
              <w:t>&gt;=3.13</w:t>
            </w:r>
          </w:p>
        </w:tc>
        <w:tc>
          <w:tcPr>
            <w:tcW w:type="dxa" w:w="2946"/>
          </w:tcPr>
          <w:p>
            <w:r/>
            <w:r>
              <w:rPr>
                <w:rFonts w:ascii="Times New Roman" w:hAnsi="Times New Roman"/>
                <w:sz w:val="20"/>
              </w:rPr>
              <w:t>Computacion de homologia persistente</w:t>
            </w:r>
          </w:p>
        </w:tc>
      </w:tr>
      <w:tr>
        <w:tc>
          <w:tcPr>
            <w:tcW w:type="dxa" w:w="2946"/>
          </w:tcPr>
          <w:p>
            <w:r/>
            <w:r>
              <w:rPr>
                <w:rFonts w:ascii="Times New Roman" w:hAnsi="Times New Roman"/>
                <w:sz w:val="20"/>
              </w:rPr>
              <w:t>ripser</w:t>
            </w:r>
          </w:p>
        </w:tc>
        <w:tc>
          <w:tcPr>
            <w:tcW w:type="dxa" w:w="2946"/>
          </w:tcPr>
          <w:p>
            <w:r/>
            <w:r>
              <w:rPr>
                <w:rFonts w:ascii="Times New Roman" w:hAnsi="Times New Roman"/>
                <w:sz w:val="20"/>
              </w:rPr>
              <w:t>latest</w:t>
            </w:r>
          </w:p>
        </w:tc>
        <w:tc>
          <w:tcPr>
            <w:tcW w:type="dxa" w:w="2946"/>
          </w:tcPr>
          <w:p>
            <w:r/>
            <w:r>
              <w:rPr>
                <w:rFonts w:ascii="Times New Roman" w:hAnsi="Times New Roman"/>
                <w:sz w:val="20"/>
              </w:rPr>
              <w:t>Rips complexes (instalado sin dependencias)</w:t>
            </w:r>
          </w:p>
        </w:tc>
      </w:tr>
    </w:tbl>
    <w:p/>
    <w:p>
      <w:r>
        <w:br w:type="page"/>
      </w:r>
    </w:p>
    <w:p>
      <w:pPr>
        <w:pStyle w:val="Heading1"/>
      </w:pPr>
      <w:r>
        <w:t>2. Algoritmos Implementados</w:t>
      </w:r>
    </w:p>
    <w:p>
      <w:pPr>
        <w:pStyle w:val="Heading2"/>
      </w:pPr>
      <w:r>
        <w:t>2.1 Optimizacion SIMP</w:t>
      </w:r>
    </w:p>
    <w:p>
      <w:r>
        <w:t>El metodo SIMP (Solid Isotropic Material with Penalization) penaliza las densidades intermedias para converger a disenos binarios (0-1). La formulacion del problema de optimizacion es la siguiente:</w:t>
      </w:r>
    </w:p>
    <w:p>
      <w:pPr>
        <w:pStyle w:val="IntenseQuote"/>
      </w:pPr>
      <w:r>
        <w:t>Minimizar:  c(rho) = sum(rho_e^p * ue^T * Ke * ue)</w:t>
      </w:r>
    </w:p>
    <w:p>
      <w:pPr>
        <w:pStyle w:val="IntenseQuote"/>
      </w:pPr>
      <w:r>
        <w:t>Sujeto a:   K(rho) * U = F</w:t>
      </w:r>
    </w:p>
    <w:p>
      <w:pPr>
        <w:pStyle w:val="IntenseQuote"/>
      </w:pPr>
      <w:r>
        <w:t xml:space="preserve">            sum(rho_e * v_e) = fV * V0</w:t>
      </w:r>
    </w:p>
    <w:p>
      <w:pPr>
        <w:pStyle w:val="IntenseQuote"/>
      </w:pPr>
      <w:r>
        <w:t xml:space="preserve">            0 &lt; rho_min &lt;= rho_e &lt;= 1</w:t>
      </w:r>
    </w:p>
    <w:p>
      <w:r>
        <w:t>Donde p es el factor de penalizacion, rho_e es la densidad del elemento e, Ke es la matriz de rigidez del elemento, ue es el vector de desplazamientos, fV es la fraccion de volumen objetivo y V0 es el volumen total del dominio.</w:t>
      </w:r>
    </w:p>
    <w:p>
      <w:r>
        <w:t>El optimizador implementado utiliza el metodo MMA (Method of Moving Asymptotes) para calcular las actualizaciones de densidad en cada iteracion. MMA es un metodo de programacion matematica que approxima el problema original con subproblemas convexos resolubles.</w:t>
      </w:r>
    </w:p>
    <w:p>
      <w:pPr>
        <w:pStyle w:val="Heading2"/>
      </w:pPr>
      <w:r>
        <w:t>2.2 Metrica compuesta mu_alpha</w:t>
      </w:r>
    </w:p>
    <w:p>
      <w:r>
        <w:t>La metrica compuesta combina el compliance (eficiencia estructural) con la complejidad topologica (numero de Betti-1) en una unica funcion objetivo escalar:</w:t>
      </w:r>
    </w:p>
    <w:p>
      <w:pPr>
        <w:pStyle w:val="IntenseQuote"/>
      </w:pPr>
      <w:r>
        <w:t>mu_alpha = c(rho*) + alpha * B1(Omega_solido)</w:t>
      </w:r>
    </w:p>
    <w:p>
      <w:r>
        <w:t>Donde c(rho*) es el compliance optimizado y B1 es el numero de Betti-1 (agujeros) del diseno binarizado. El parametro alpha calibra el peso relativo entre ambos terminos.</w:t>
      </w:r>
    </w:p>
    <w:p>
      <w:r>
        <w:t>El valor de alpha se calcula automaticamente para que ambos terminos tengan magnitud comparable: alpha = c_promedio / B1_promedio * 0.05. Esto permite que la metrica discrimine entre configuraciones que difieren en topologia pero no en compliance, o viceversa.</w:t>
      </w:r>
    </w:p>
    <w:p>
      <w:pPr>
        <w:pStyle w:val="Heading2"/>
      </w:pPr>
      <w:r>
        <w:t>2.3 Analisis topologico (TDA)</w:t>
      </w:r>
    </w:p>
    <w:p>
      <w:r>
        <w:t>La plataforma calcula numeros de Betti (B0, B1) utilizando dos metodos independientes para validacion cruzada:</w:t>
      </w:r>
    </w:p>
    <w:p>
      <w:pPr>
        <w:pStyle w:val="ListBullet"/>
      </w:pPr>
      <w:r>
        <w:t>GUDHI: computa filtraciones de complejos de Rips sobre la nube de puntos y extrae los numeros de Betti de los diagramas de persistencia resultantes.</w:t>
      </w:r>
    </w:p>
    <w:p>
      <w:pPr>
        <w:pStyle w:val="ListBullet"/>
      </w:pPr>
      <w:r>
        <w:t>Euler numerico: realiza el conteo directo de componentes y agujeros sobre la grilla de densidades del diseno.</w:t>
      </w:r>
    </w:p>
    <w:p>
      <w:r>
        <w:t>La concordancia entre ambos metodos se verifica en cada ejecucion. Las distancias entre diagramas de persistencia (Wasserstein y bottleneck) se implementan en numpy puro, eliminando la dependencia externa de persim.</w:t>
      </w:r>
    </w:p>
    <w:p>
      <w:pPr>
        <w:pStyle w:val="Heading2"/>
      </w:pPr>
      <w:r>
        <w:t>2.4 Validaciones estadisticas</w:t>
      </w:r>
    </w:p>
    <w:p>
      <w:r>
        <w:t>Las hipotesis se validan mediante los siguientes criterios:</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2F3"/>
          </w:tcPr>
          <w:p>
            <w:pPr>
              <w:jc w:val="center"/>
            </w:pPr>
            <w:r/>
            <w:r>
              <w:rPr>
                <w:rFonts w:ascii="Times New Roman" w:hAnsi="Times New Roman"/>
                <w:b/>
                <w:sz w:val="20"/>
              </w:rPr>
              <w:t>Hipotesis</w:t>
            </w:r>
          </w:p>
        </w:tc>
        <w:tc>
          <w:tcPr>
            <w:tcW w:type="dxa" w:w="2946"/>
            <w:shd w:fill="D9E2F3"/>
          </w:tcPr>
          <w:p>
            <w:pPr>
              <w:jc w:val="center"/>
            </w:pPr>
            <w:r/>
            <w:r>
              <w:rPr>
                <w:rFonts w:ascii="Times New Roman" w:hAnsi="Times New Roman"/>
                <w:b/>
                <w:sz w:val="20"/>
              </w:rPr>
              <w:t>Metodo de validacion</w:t>
            </w:r>
          </w:p>
        </w:tc>
        <w:tc>
          <w:tcPr>
            <w:tcW w:type="dxa" w:w="2946"/>
            <w:shd w:fill="D9E2F3"/>
          </w:tcPr>
          <w:p>
            <w:pPr>
              <w:jc w:val="center"/>
            </w:pPr>
            <w:r/>
            <w:r>
              <w:rPr>
                <w:rFonts w:ascii="Times New Roman" w:hAnsi="Times New Roman"/>
                <w:b/>
                <w:sz w:val="20"/>
              </w:rPr>
              <w:t>Criterio de aceptacion</w:t>
            </w:r>
          </w:p>
        </w:tc>
      </w:tr>
      <w:tr>
        <w:tc>
          <w:tcPr>
            <w:tcW w:type="dxa" w:w="2946"/>
          </w:tcPr>
          <w:p>
            <w:r/>
            <w:r>
              <w:rPr>
                <w:rFonts w:ascii="Times New Roman" w:hAnsi="Times New Roman"/>
                <w:sz w:val="20"/>
              </w:rPr>
              <w:t>H.E.1a' (cota bottleneck)</w:t>
            </w:r>
          </w:p>
        </w:tc>
        <w:tc>
          <w:tcPr>
            <w:tcW w:type="dxa" w:w="2946"/>
          </w:tcPr>
          <w:p>
            <w:r/>
            <w:r>
              <w:rPr>
                <w:rFonts w:ascii="Times New Roman" w:hAnsi="Times New Roman"/>
                <w:sz w:val="20"/>
              </w:rPr>
              <w:t>Ratio dB/diam(X) &lt;= 2q</w:t>
            </w:r>
          </w:p>
        </w:tc>
        <w:tc>
          <w:tcPr>
            <w:tcW w:type="dxa" w:w="2946"/>
          </w:tcPr>
          <w:p>
            <w:r/>
            <w:r>
              <w:rPr>
                <w:rFonts w:ascii="Times New Roman" w:hAnsi="Times New Roman"/>
                <w:sz w:val="20"/>
              </w:rPr>
              <w:t>Todos los shapes deben cumplir la desigualdad</w:t>
            </w:r>
          </w:p>
        </w:tc>
      </w:tr>
      <w:tr>
        <w:tc>
          <w:tcPr>
            <w:tcW w:type="dxa" w:w="2946"/>
          </w:tcPr>
          <w:p>
            <w:r/>
            <w:r>
              <w:rPr>
                <w:rFonts w:ascii="Times New Roman" w:hAnsi="Times New Roman"/>
                <w:sz w:val="20"/>
              </w:rPr>
              <w:t>H.E.1b (clasificacion)</w:t>
            </w:r>
          </w:p>
        </w:tc>
        <w:tc>
          <w:tcPr>
            <w:tcW w:type="dxa" w:w="2946"/>
          </w:tcPr>
          <w:p>
            <w:r/>
            <w:r>
              <w:rPr>
                <w:rFonts w:ascii="Times New Roman" w:hAnsi="Times New Roman"/>
                <w:sz w:val="20"/>
              </w:rPr>
              <w:t>Test de McNemar</w:t>
            </w:r>
          </w:p>
        </w:tc>
        <w:tc>
          <w:tcPr>
            <w:tcW w:type="dxa" w:w="2946"/>
          </w:tcPr>
          <w:p>
            <w:r/>
            <w:r>
              <w:rPr>
                <w:rFonts w:ascii="Times New Roman" w:hAnsi="Times New Roman"/>
                <w:sz w:val="20"/>
              </w:rPr>
              <w:t>p &lt; 0.05 (superioridad estadistica de TDA)</w:t>
            </w:r>
          </w:p>
        </w:tc>
      </w:tr>
      <w:tr>
        <w:tc>
          <w:tcPr>
            <w:tcW w:type="dxa" w:w="2946"/>
          </w:tcPr>
          <w:p>
            <w:r/>
            <w:r>
              <w:rPr>
                <w:rFonts w:ascii="Times New Roman" w:hAnsi="Times New Roman"/>
                <w:sz w:val="20"/>
              </w:rPr>
              <w:t>H.E.1c (estabilidad)</w:t>
            </w:r>
          </w:p>
        </w:tc>
        <w:tc>
          <w:tcPr>
            <w:tcW w:type="dxa" w:w="2946"/>
          </w:tcPr>
          <w:p>
            <w:r/>
            <w:r>
              <w:rPr>
                <w:rFonts w:ascii="Times New Roman" w:hAnsi="Times New Roman"/>
                <w:sz w:val="20"/>
              </w:rPr>
              <w:t>dB &lt;= 2 * dH(X,Y)</w:t>
            </w:r>
          </w:p>
        </w:tc>
        <w:tc>
          <w:tcPr>
            <w:tcW w:type="dxa" w:w="2946"/>
          </w:tcPr>
          <w:p>
            <w:r/>
            <w:r>
              <w:rPr>
                <w:rFonts w:ascii="Times New Roman" w:hAnsi="Times New Roman"/>
                <w:sz w:val="20"/>
              </w:rPr>
              <w:t>Todos los shapes deben cumplir la cota</w:t>
            </w:r>
          </w:p>
        </w:tc>
      </w:tr>
      <w:tr>
        <w:tc>
          <w:tcPr>
            <w:tcW w:type="dxa" w:w="2946"/>
          </w:tcPr>
          <w:p>
            <w:r/>
            <w:r>
              <w:rPr>
                <w:rFonts w:ascii="Times New Roman" w:hAnsi="Times New Roman"/>
                <w:sz w:val="20"/>
              </w:rPr>
              <w:t>H.E.2a' (reduccion)</w:t>
            </w:r>
          </w:p>
        </w:tc>
        <w:tc>
          <w:tcPr>
            <w:tcW w:type="dxa" w:w="2946"/>
          </w:tcPr>
          <w:p>
            <w:r/>
            <w:r>
              <w:rPr>
                <w:rFonts w:ascii="Times New Roman" w:hAnsi="Times New Roman"/>
                <w:sz w:val="20"/>
              </w:rPr>
              <w:t>(c_unif - c_star) / c_unif &gt;= 0.40</w:t>
            </w:r>
          </w:p>
        </w:tc>
        <w:tc>
          <w:tcPr>
            <w:tcW w:type="dxa" w:w="2946"/>
          </w:tcPr>
          <w:p>
            <w:r/>
            <w:r>
              <w:rPr>
                <w:rFonts w:ascii="Times New Roman" w:hAnsi="Times New Roman"/>
                <w:sz w:val="20"/>
              </w:rPr>
              <w:t>Reduccion de compliance &gt;= 40%</w:t>
            </w:r>
          </w:p>
        </w:tc>
      </w:tr>
      <w:tr>
        <w:tc>
          <w:tcPr>
            <w:tcW w:type="dxa" w:w="2946"/>
          </w:tcPr>
          <w:p>
            <w:r/>
            <w:r>
              <w:rPr>
                <w:rFonts w:ascii="Times New Roman" w:hAnsi="Times New Roman"/>
                <w:sz w:val="20"/>
              </w:rPr>
              <w:t>H.E.2b' (invariancia)</w:t>
            </w:r>
          </w:p>
        </w:tc>
        <w:tc>
          <w:tcPr>
            <w:tcW w:type="dxa" w:w="2946"/>
          </w:tcPr>
          <w:p>
            <w:r/>
            <w:r>
              <w:rPr>
                <w:rFonts w:ascii="Times New Roman" w:hAnsi="Times New Roman"/>
                <w:sz w:val="20"/>
              </w:rPr>
              <w:t>B1 invariante</w:t>
            </w:r>
          </w:p>
        </w:tc>
        <w:tc>
          <w:tcPr>
            <w:tcW w:type="dxa" w:w="2946"/>
          </w:tcPr>
          <w:p>
            <w:r/>
            <w:r>
              <w:rPr>
                <w:rFonts w:ascii="Times New Roman" w:hAnsi="Times New Roman"/>
                <w:sz w:val="20"/>
              </w:rPr>
              <w:t>B1 constante para variaciones de p, malla y r_min</w:t>
            </w:r>
          </w:p>
        </w:tc>
      </w:tr>
    </w:tbl>
    <w:p/>
    <w:p>
      <w:r>
        <w:br w:type="page"/>
      </w:r>
    </w:p>
    <w:p>
      <w:pPr>
        <w:pStyle w:val="Heading1"/>
      </w:pPr>
      <w:r>
        <w:t>3. Solver de Elementos Finitos (FEM)</w:t>
      </w:r>
    </w:p>
    <w:p>
      <w:r>
        <w:t>El solver FEM resuelve problemas de estado plano de tension en dos dimensiones. Utiliza elementos cuadrilaterales de cuatro nodos (Q4) con integracion completa de 2x2 puntos de Gauss.</w:t>
      </w:r>
    </w:p>
    <w:p>
      <w:pPr>
        <w:pStyle w:val="Heading2"/>
      </w:pPr>
      <w:r>
        <w:t>3.1 Condiciones de contorno</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2F3"/>
          </w:tcPr>
          <w:p>
            <w:pPr>
              <w:jc w:val="center"/>
            </w:pPr>
            <w:r/>
            <w:r>
              <w:rPr>
                <w:rFonts w:ascii="Times New Roman" w:hAnsi="Times New Roman"/>
                <w:b/>
                <w:sz w:val="20"/>
              </w:rPr>
              <w:t>Caso de uso</w:t>
            </w:r>
          </w:p>
        </w:tc>
        <w:tc>
          <w:tcPr>
            <w:tcW w:type="dxa" w:w="2946"/>
            <w:shd w:fill="D9E2F3"/>
          </w:tcPr>
          <w:p>
            <w:pPr>
              <w:jc w:val="center"/>
            </w:pPr>
            <w:r/>
            <w:r>
              <w:rPr>
                <w:rFonts w:ascii="Times New Roman" w:hAnsi="Times New Roman"/>
                <w:b/>
                <w:sz w:val="20"/>
              </w:rPr>
              <w:t>Condicion izquierda</w:t>
            </w:r>
          </w:p>
        </w:tc>
        <w:tc>
          <w:tcPr>
            <w:tcW w:type="dxa" w:w="2946"/>
            <w:shd w:fill="D9E2F3"/>
          </w:tcPr>
          <w:p>
            <w:pPr>
              <w:jc w:val="center"/>
            </w:pPr>
            <w:r/>
            <w:r>
              <w:rPr>
                <w:rFonts w:ascii="Times New Roman" w:hAnsi="Times New Roman"/>
                <w:b/>
                <w:sz w:val="20"/>
              </w:rPr>
              <w:t>Carga aplicada</w:t>
            </w:r>
          </w:p>
        </w:tc>
      </w:tr>
      <w:tr>
        <w:tc>
          <w:tcPr>
            <w:tcW w:type="dxa" w:w="2946"/>
          </w:tcPr>
          <w:p>
            <w:r/>
            <w:r>
              <w:rPr>
                <w:rFonts w:ascii="Times New Roman" w:hAnsi="Times New Roman"/>
                <w:sz w:val="20"/>
              </w:rPr>
              <w:t>Viga en voladizo</w:t>
            </w:r>
          </w:p>
        </w:tc>
        <w:tc>
          <w:tcPr>
            <w:tcW w:type="dxa" w:w="2946"/>
          </w:tcPr>
          <w:p>
            <w:r/>
            <w:r>
              <w:rPr>
                <w:rFonts w:ascii="Times New Roman" w:hAnsi="Times New Roman"/>
                <w:sz w:val="20"/>
              </w:rPr>
              <w:t>Empotrada (uj = 0, vj = 0)</w:t>
            </w:r>
          </w:p>
        </w:tc>
        <w:tc>
          <w:tcPr>
            <w:tcW w:type="dxa" w:w="2946"/>
          </w:tcPr>
          <w:p>
            <w:r/>
            <w:r>
              <w:rPr>
                <w:rFonts w:ascii="Times New Roman" w:hAnsi="Times New Roman"/>
                <w:sz w:val="20"/>
              </w:rPr>
              <w:t>Puntual en extremo libre</w:t>
            </w:r>
          </w:p>
        </w:tc>
      </w:tr>
      <w:tr>
        <w:tc>
          <w:tcPr>
            <w:tcW w:type="dxa" w:w="2946"/>
          </w:tcPr>
          <w:p>
            <w:r/>
            <w:r>
              <w:rPr>
                <w:rFonts w:ascii="Times New Roman" w:hAnsi="Times New Roman"/>
                <w:sz w:val="20"/>
              </w:rPr>
              <w:t>Placa cuadrada</w:t>
            </w:r>
          </w:p>
        </w:tc>
        <w:tc>
          <w:tcPr>
            <w:tcW w:type="dxa" w:w="2946"/>
          </w:tcPr>
          <w:p>
            <w:r/>
            <w:r>
              <w:rPr>
                <w:rFonts w:ascii="Times New Roman" w:hAnsi="Times New Roman"/>
                <w:sz w:val="20"/>
              </w:rPr>
              <w:t>Empotrada (uj = 0, vj = 0)</w:t>
            </w:r>
          </w:p>
        </w:tc>
        <w:tc>
          <w:tcPr>
            <w:tcW w:type="dxa" w:w="2946"/>
          </w:tcPr>
          <w:p>
            <w:r/>
            <w:r>
              <w:rPr>
                <w:rFonts w:ascii="Times New Roman" w:hAnsi="Times New Roman"/>
                <w:sz w:val="20"/>
              </w:rPr>
              <w:t>Puntual en esquina opuesta</w:t>
            </w:r>
          </w:p>
        </w:tc>
      </w:tr>
    </w:tbl>
    <w:p/>
    <w:p>
      <w:pPr>
        <w:pStyle w:val="Heading2"/>
      </w:pPr>
      <w:r>
        <w:t>3.2 Propiedades del material</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2F3"/>
          </w:tcPr>
          <w:p>
            <w:pPr>
              <w:jc w:val="center"/>
            </w:pPr>
            <w:r/>
            <w:r>
              <w:rPr>
                <w:rFonts w:ascii="Times New Roman" w:hAnsi="Times New Roman"/>
                <w:b/>
                <w:sz w:val="20"/>
              </w:rPr>
              <w:t>Propiedad</w:t>
            </w:r>
          </w:p>
        </w:tc>
        <w:tc>
          <w:tcPr>
            <w:tcW w:type="dxa" w:w="2946"/>
            <w:shd w:fill="D9E2F3"/>
          </w:tcPr>
          <w:p>
            <w:pPr>
              <w:jc w:val="center"/>
            </w:pPr>
            <w:r/>
            <w:r>
              <w:rPr>
                <w:rFonts w:ascii="Times New Roman" w:hAnsi="Times New Roman"/>
                <w:b/>
                <w:sz w:val="20"/>
              </w:rPr>
              <w:t>Valor</w:t>
            </w:r>
          </w:p>
        </w:tc>
        <w:tc>
          <w:tcPr>
            <w:tcW w:type="dxa" w:w="2946"/>
            <w:shd w:fill="D9E2F3"/>
          </w:tcPr>
          <w:p>
            <w:pPr>
              <w:jc w:val="center"/>
            </w:pPr>
            <w:r/>
            <w:r>
              <w:rPr>
                <w:rFonts w:ascii="Times New Roman" w:hAnsi="Times New Roman"/>
                <w:b/>
                <w:sz w:val="20"/>
              </w:rPr>
              <w:t>Unidad</w:t>
            </w:r>
          </w:p>
        </w:tc>
      </w:tr>
      <w:tr>
        <w:tc>
          <w:tcPr>
            <w:tcW w:type="dxa" w:w="2946"/>
          </w:tcPr>
          <w:p>
            <w:r/>
            <w:r>
              <w:rPr>
                <w:rFonts w:ascii="Times New Roman" w:hAnsi="Times New Roman"/>
                <w:sz w:val="20"/>
              </w:rPr>
              <w:t>Modulo Young (E0)</w:t>
            </w:r>
          </w:p>
        </w:tc>
        <w:tc>
          <w:tcPr>
            <w:tcW w:type="dxa" w:w="2946"/>
          </w:tcPr>
          <w:p>
            <w:r/>
            <w:r>
              <w:rPr>
                <w:rFonts w:ascii="Times New Roman" w:hAnsi="Times New Roman"/>
                <w:sz w:val="20"/>
              </w:rPr>
              <w:t>200000</w:t>
            </w:r>
          </w:p>
        </w:tc>
        <w:tc>
          <w:tcPr>
            <w:tcW w:type="dxa" w:w="2946"/>
          </w:tcPr>
          <w:p>
            <w:r/>
            <w:r>
              <w:rPr>
                <w:rFonts w:ascii="Times New Roman" w:hAnsi="Times New Roman"/>
                <w:sz w:val="20"/>
              </w:rPr>
              <w:t>MPa</w:t>
            </w:r>
          </w:p>
        </w:tc>
      </w:tr>
      <w:tr>
        <w:tc>
          <w:tcPr>
            <w:tcW w:type="dxa" w:w="2946"/>
          </w:tcPr>
          <w:p>
            <w:r/>
            <w:r>
              <w:rPr>
                <w:rFonts w:ascii="Times New Roman" w:hAnsi="Times New Roman"/>
                <w:sz w:val="20"/>
              </w:rPr>
              <w:t>Relacion de Poisson</w:t>
            </w:r>
          </w:p>
        </w:tc>
        <w:tc>
          <w:tcPr>
            <w:tcW w:type="dxa" w:w="2946"/>
          </w:tcPr>
          <w:p>
            <w:r/>
            <w:r>
              <w:rPr>
                <w:rFonts w:ascii="Times New Roman" w:hAnsi="Times New Roman"/>
                <w:sz w:val="20"/>
              </w:rPr>
              <w:t>0.3</w:t>
            </w:r>
          </w:p>
        </w:tc>
        <w:tc>
          <w:tcPr>
            <w:tcW w:type="dxa" w:w="2946"/>
          </w:tcPr>
          <w:p>
            <w:r/>
            <w:r>
              <w:rPr>
                <w:rFonts w:ascii="Times New Roman" w:hAnsi="Times New Roman"/>
                <w:sz w:val="20"/>
              </w:rPr>
              <w:t>Adimensional</w:t>
            </w:r>
          </w:p>
        </w:tc>
      </w:tr>
      <w:tr>
        <w:tc>
          <w:tcPr>
            <w:tcW w:type="dxa" w:w="2946"/>
          </w:tcPr>
          <w:p>
            <w:r/>
            <w:r>
              <w:rPr>
                <w:rFonts w:ascii="Times New Roman" w:hAnsi="Times New Roman"/>
                <w:sz w:val="20"/>
              </w:rPr>
              <w:t>Espesor</w:t>
            </w:r>
          </w:p>
        </w:tc>
        <w:tc>
          <w:tcPr>
            <w:tcW w:type="dxa" w:w="2946"/>
          </w:tcPr>
          <w:p>
            <w:r/>
            <w:r>
              <w:rPr>
                <w:rFonts w:ascii="Times New Roman" w:hAnsi="Times New Roman"/>
                <w:sz w:val="20"/>
              </w:rPr>
              <w:t>1.0</w:t>
            </w:r>
          </w:p>
        </w:tc>
        <w:tc>
          <w:tcPr>
            <w:tcW w:type="dxa" w:w="2946"/>
          </w:tcPr>
          <w:p>
            <w:r/>
            <w:r>
              <w:rPr>
                <w:rFonts w:ascii="Times New Roman" w:hAnsi="Times New Roman"/>
                <w:sz w:val="20"/>
              </w:rPr>
              <w:t>mm</w:t>
            </w:r>
          </w:p>
        </w:tc>
      </w:tr>
      <w:tr>
        <w:tc>
          <w:tcPr>
            <w:tcW w:type="dxa" w:w="2946"/>
          </w:tcPr>
          <w:p>
            <w:r/>
            <w:r>
              <w:rPr>
                <w:rFonts w:ascii="Times New Roman" w:hAnsi="Times New Roman"/>
                <w:sz w:val="20"/>
              </w:rPr>
              <w:t>Densidad de referencia</w:t>
            </w:r>
          </w:p>
        </w:tc>
        <w:tc>
          <w:tcPr>
            <w:tcW w:type="dxa" w:w="2946"/>
          </w:tcPr>
          <w:p>
            <w:r/>
            <w:r>
              <w:rPr>
                <w:rFonts w:ascii="Times New Roman" w:hAnsi="Times New Roman"/>
                <w:sz w:val="20"/>
              </w:rPr>
              <w:t>1.0</w:t>
            </w:r>
          </w:p>
        </w:tc>
        <w:tc>
          <w:tcPr>
            <w:tcW w:type="dxa" w:w="2946"/>
          </w:tcPr>
          <w:p>
            <w:r/>
            <w:r>
              <w:rPr>
                <w:rFonts w:ascii="Times New Roman" w:hAnsi="Times New Roman"/>
                <w:sz w:val="20"/>
              </w:rPr>
              <w:t>kg/mm3</w:t>
            </w:r>
          </w:p>
        </w:tc>
      </w:tr>
    </w:tbl>
    <w:p/>
    <w:p>
      <w:r>
        <w:br w:type="page"/>
      </w:r>
    </w:p>
    <w:p>
      <w:pPr>
        <w:pStyle w:val="Heading1"/>
      </w:pPr>
      <w:r>
        <w:t>4. Configuracion de Experimentos</w:t>
      </w:r>
    </w:p>
    <w:p>
      <w:pPr>
        <w:pStyle w:val="Heading2"/>
      </w:pPr>
      <w:r>
        <w:t>4.1 Cuadros de resultados del documento</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2F3"/>
          </w:tcPr>
          <w:p>
            <w:pPr>
              <w:jc w:val="center"/>
            </w:pPr>
            <w:r/>
            <w:r>
              <w:rPr>
                <w:rFonts w:ascii="Times New Roman" w:hAnsi="Times New Roman"/>
                <w:b/>
                <w:sz w:val="20"/>
              </w:rPr>
              <w:t>Cuadro</w:t>
            </w:r>
          </w:p>
        </w:tc>
        <w:tc>
          <w:tcPr>
            <w:tcW w:type="dxa" w:w="2946"/>
            <w:shd w:fill="D9E2F3"/>
          </w:tcPr>
          <w:p>
            <w:pPr>
              <w:jc w:val="center"/>
            </w:pPr>
            <w:r/>
            <w:r>
              <w:rPr>
                <w:rFonts w:ascii="Times New Roman" w:hAnsi="Times New Roman"/>
                <w:b/>
                <w:sz w:val="20"/>
              </w:rPr>
              <w:t>Ubicacion</w:t>
            </w:r>
          </w:p>
        </w:tc>
        <w:tc>
          <w:tcPr>
            <w:tcW w:type="dxa" w:w="2946"/>
            <w:shd w:fill="D9E2F3"/>
          </w:tcPr>
          <w:p>
            <w:pPr>
              <w:jc w:val="center"/>
            </w:pPr>
            <w:r/>
            <w:r>
              <w:rPr>
                <w:rFonts w:ascii="Times New Roman" w:hAnsi="Times New Roman"/>
                <w:b/>
                <w:sz w:val="20"/>
              </w:rPr>
              <w:t>Contenido</w:t>
            </w:r>
          </w:p>
        </w:tc>
      </w:tr>
      <w:tr>
        <w:tc>
          <w:tcPr>
            <w:tcW w:type="dxa" w:w="2946"/>
          </w:tcPr>
          <w:p>
            <w:r/>
            <w:r>
              <w:rPr>
                <w:rFonts w:ascii="Times New Roman" w:hAnsi="Times New Roman"/>
                <w:sz w:val="20"/>
              </w:rPr>
              <w:t>Cuadro 1</w:t>
            </w:r>
          </w:p>
        </w:tc>
        <w:tc>
          <w:tcPr>
            <w:tcW w:type="dxa" w:w="2946"/>
          </w:tcPr>
          <w:p>
            <w:r/>
            <w:r>
              <w:rPr>
                <w:rFonts w:ascii="Times New Roman" w:hAnsi="Times New Roman"/>
                <w:sz w:val="20"/>
              </w:rPr>
              <w:t>H.E.2a'</w:t>
            </w:r>
          </w:p>
        </w:tc>
        <w:tc>
          <w:tcPr>
            <w:tcW w:type="dxa" w:w="2946"/>
          </w:tcPr>
          <w:p>
            <w:r/>
            <w:r>
              <w:rPr>
                <w:rFonts w:ascii="Times New Roman" w:hAnsi="Times New Roman"/>
                <w:sz w:val="20"/>
              </w:rPr>
              <w:t>Reduccion de compliance &gt;= 40% vs diseno uniforme</w:t>
            </w:r>
          </w:p>
        </w:tc>
      </w:tr>
      <w:tr>
        <w:tc>
          <w:tcPr>
            <w:tcW w:type="dxa" w:w="2946"/>
          </w:tcPr>
          <w:p>
            <w:r/>
            <w:r>
              <w:rPr>
                <w:rFonts w:ascii="Times New Roman" w:hAnsi="Times New Roman"/>
                <w:sz w:val="20"/>
              </w:rPr>
              <w:t>Cuadro 4</w:t>
            </w:r>
          </w:p>
        </w:tc>
        <w:tc>
          <w:tcPr>
            <w:tcW w:type="dxa" w:w="2946"/>
          </w:tcPr>
          <w:p>
            <w:r/>
            <w:r>
              <w:rPr>
                <w:rFonts w:ascii="Times New Roman" w:hAnsi="Times New Roman"/>
                <w:sz w:val="20"/>
              </w:rPr>
              <w:t>H.E.1</w:t>
            </w:r>
          </w:p>
        </w:tc>
        <w:tc>
          <w:tcPr>
            <w:tcW w:type="dxa" w:w="2946"/>
          </w:tcPr>
          <w:p>
            <w:r/>
            <w:r>
              <w:rPr>
                <w:rFonts w:ascii="Times New Roman" w:hAnsi="Times New Roman"/>
                <w:sz w:val="20"/>
              </w:rPr>
              <w:t>Tasa de acierto de Bk por nivel de ruido</w:t>
            </w:r>
          </w:p>
        </w:tc>
      </w:tr>
      <w:tr>
        <w:tc>
          <w:tcPr>
            <w:tcW w:type="dxa" w:w="2946"/>
          </w:tcPr>
          <w:p>
            <w:r/>
            <w:r>
              <w:rPr>
                <w:rFonts w:ascii="Times New Roman" w:hAnsi="Times New Roman"/>
                <w:sz w:val="20"/>
              </w:rPr>
              <w:t>Cuadro 5</w:t>
            </w:r>
          </w:p>
        </w:tc>
        <w:tc>
          <w:tcPr>
            <w:tcW w:type="dxa" w:w="2946"/>
          </w:tcPr>
          <w:p>
            <w:r/>
            <w:r>
              <w:rPr>
                <w:rFonts w:ascii="Times New Roman" w:hAnsi="Times New Roman"/>
                <w:sz w:val="20"/>
              </w:rPr>
              <w:t>H.E.1</w:t>
            </w:r>
          </w:p>
        </w:tc>
        <w:tc>
          <w:tcPr>
            <w:tcW w:type="dxa" w:w="2946"/>
          </w:tcPr>
          <w:p>
            <w:r/>
            <w:r>
              <w:rPr>
                <w:rFonts w:ascii="Times New Roman" w:hAnsi="Times New Roman"/>
                <w:sz w:val="20"/>
              </w:rPr>
              <w:t>Clasificacion TDA vs Euclidianos</w:t>
            </w:r>
          </w:p>
        </w:tc>
      </w:tr>
      <w:tr>
        <w:tc>
          <w:tcPr>
            <w:tcW w:type="dxa" w:w="2946"/>
          </w:tcPr>
          <w:p>
            <w:r/>
            <w:r>
              <w:rPr>
                <w:rFonts w:ascii="Times New Roman" w:hAnsi="Times New Roman"/>
                <w:sz w:val="20"/>
              </w:rPr>
              <w:t>Cuadro 7</w:t>
            </w:r>
          </w:p>
        </w:tc>
        <w:tc>
          <w:tcPr>
            <w:tcW w:type="dxa" w:w="2946"/>
          </w:tcPr>
          <w:p>
            <w:r/>
            <w:r>
              <w:rPr>
                <w:rFonts w:ascii="Times New Roman" w:hAnsi="Times New Roman"/>
                <w:sz w:val="20"/>
              </w:rPr>
              <w:t>H.E.2b'</w:t>
            </w:r>
          </w:p>
        </w:tc>
        <w:tc>
          <w:tcPr>
            <w:tcW w:type="dxa" w:w="2946"/>
          </w:tcPr>
          <w:p>
            <w:r/>
            <w:r>
              <w:rPr>
                <w:rFonts w:ascii="Times New Roman" w:hAnsi="Times New Roman"/>
                <w:sz w:val="20"/>
              </w:rPr>
              <w:t>Barrido de penalizacion p = {1, 2, 3, 4}</w:t>
            </w:r>
          </w:p>
        </w:tc>
      </w:tr>
      <w:tr>
        <w:tc>
          <w:tcPr>
            <w:tcW w:type="dxa" w:w="2946"/>
          </w:tcPr>
          <w:p>
            <w:r/>
            <w:r>
              <w:rPr>
                <w:rFonts w:ascii="Times New Roman" w:hAnsi="Times New Roman"/>
                <w:sz w:val="20"/>
              </w:rPr>
              <w:t>Cuadro 8</w:t>
            </w:r>
          </w:p>
        </w:tc>
        <w:tc>
          <w:tcPr>
            <w:tcW w:type="dxa" w:w="2946"/>
          </w:tcPr>
          <w:p>
            <w:r/>
            <w:r>
              <w:rPr>
                <w:rFonts w:ascii="Times New Roman" w:hAnsi="Times New Roman"/>
                <w:sz w:val="20"/>
              </w:rPr>
              <w:t>H.E.2b'</w:t>
            </w:r>
          </w:p>
        </w:tc>
        <w:tc>
          <w:tcPr>
            <w:tcW w:type="dxa" w:w="2946"/>
          </w:tcPr>
          <w:p>
            <w:r/>
            <w:r>
              <w:rPr>
                <w:rFonts w:ascii="Times New Roman" w:hAnsi="Times New Roman"/>
                <w:sz w:val="20"/>
              </w:rPr>
              <w:t>Barrido de malla Ne = {1600, 6400, 14400}</w:t>
            </w:r>
          </w:p>
        </w:tc>
      </w:tr>
    </w:tbl>
    <w:p/>
    <w:p>
      <w:pPr>
        <w:pStyle w:val="Heading2"/>
      </w:pPr>
      <w:r>
        <w:t>4.2 Parametros fijos de referencia</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2F3"/>
          </w:tcPr>
          <w:p>
            <w:pPr>
              <w:jc w:val="center"/>
            </w:pPr>
            <w:r/>
            <w:r>
              <w:rPr>
                <w:rFonts w:ascii="Times New Roman" w:hAnsi="Times New Roman"/>
                <w:b/>
                <w:sz w:val="20"/>
              </w:rPr>
              <w:t>Parametro</w:t>
            </w:r>
          </w:p>
        </w:tc>
        <w:tc>
          <w:tcPr>
            <w:tcW w:type="dxa" w:w="2946"/>
            <w:shd w:fill="D9E2F3"/>
          </w:tcPr>
          <w:p>
            <w:pPr>
              <w:jc w:val="center"/>
            </w:pPr>
            <w:r/>
            <w:r>
              <w:rPr>
                <w:rFonts w:ascii="Times New Roman" w:hAnsi="Times New Roman"/>
                <w:b/>
                <w:sz w:val="20"/>
              </w:rPr>
              <w:t>Valor</w:t>
            </w:r>
          </w:p>
        </w:tc>
        <w:tc>
          <w:tcPr>
            <w:tcW w:type="dxa" w:w="2946"/>
            <w:shd w:fill="D9E2F3"/>
          </w:tcPr>
          <w:p>
            <w:pPr>
              <w:jc w:val="center"/>
            </w:pPr>
            <w:r/>
            <w:r>
              <w:rPr>
                <w:rFonts w:ascii="Times New Roman" w:hAnsi="Times New Roman"/>
                <w:b/>
                <w:sz w:val="20"/>
              </w:rPr>
              <w:t>Justificacion</w:t>
            </w:r>
          </w:p>
        </w:tc>
      </w:tr>
      <w:tr>
        <w:tc>
          <w:tcPr>
            <w:tcW w:type="dxa" w:w="2946"/>
          </w:tcPr>
          <w:p>
            <w:r/>
            <w:r>
              <w:rPr>
                <w:rFonts w:ascii="Times New Roman" w:hAnsi="Times New Roman"/>
                <w:sz w:val="20"/>
              </w:rPr>
              <w:t>fV (fraccion de volumen)</w:t>
            </w:r>
          </w:p>
        </w:tc>
        <w:tc>
          <w:tcPr>
            <w:tcW w:type="dxa" w:w="2946"/>
          </w:tcPr>
          <w:p>
            <w:r/>
            <w:r>
              <w:rPr>
                <w:rFonts w:ascii="Times New Roman" w:hAnsi="Times New Roman"/>
                <w:sz w:val="20"/>
              </w:rPr>
              <w:t>0.5</w:t>
            </w:r>
          </w:p>
        </w:tc>
        <w:tc>
          <w:tcPr>
            <w:tcW w:type="dxa" w:w="2946"/>
          </w:tcPr>
          <w:p>
            <w:r/>
            <w:r>
              <w:rPr>
                <w:rFonts w:ascii="Times New Roman" w:hAnsi="Times New Roman"/>
                <w:sz w:val="20"/>
              </w:rPr>
              <w:t>Diseno uniforme de referencia para comparacion</w:t>
            </w:r>
          </w:p>
        </w:tc>
      </w:tr>
      <w:tr>
        <w:tc>
          <w:tcPr>
            <w:tcW w:type="dxa" w:w="2946"/>
          </w:tcPr>
          <w:p>
            <w:r/>
            <w:r>
              <w:rPr>
                <w:rFonts w:ascii="Times New Roman" w:hAnsi="Times New Roman"/>
                <w:sz w:val="20"/>
              </w:rPr>
              <w:t>Puntos por forma (H.E.1)</w:t>
            </w:r>
          </w:p>
        </w:tc>
        <w:tc>
          <w:tcPr>
            <w:tcW w:type="dxa" w:w="2946"/>
          </w:tcPr>
          <w:p>
            <w:r/>
            <w:r>
              <w:rPr>
                <w:rFonts w:ascii="Times New Roman" w:hAnsi="Times New Roman"/>
                <w:sz w:val="20"/>
              </w:rPr>
              <w:t>400</w:t>
            </w:r>
          </w:p>
        </w:tc>
        <w:tc>
          <w:tcPr>
            <w:tcW w:type="dxa" w:w="2946"/>
          </w:tcPr>
          <w:p>
            <w:r/>
            <w:r>
              <w:rPr>
                <w:rFonts w:ascii="Times New Roman" w:hAnsi="Times New Roman"/>
                <w:sz w:val="20"/>
              </w:rPr>
              <w:t>Balance entre precision y tiempo de computo</w:t>
            </w:r>
          </w:p>
        </w:tc>
      </w:tr>
      <w:tr>
        <w:tc>
          <w:tcPr>
            <w:tcW w:type="dxa" w:w="2946"/>
          </w:tcPr>
          <w:p>
            <w:r/>
            <w:r>
              <w:rPr>
                <w:rFonts w:ascii="Times New Roman" w:hAnsi="Times New Roman"/>
                <w:sz w:val="20"/>
              </w:rPr>
              <w:t>Ruido gaussiano (H.E.1)</w:t>
            </w:r>
          </w:p>
        </w:tc>
        <w:tc>
          <w:tcPr>
            <w:tcW w:type="dxa" w:w="2946"/>
          </w:tcPr>
          <w:p>
            <w:r/>
            <w:r>
              <w:rPr>
                <w:rFonts w:ascii="Times New Roman" w:hAnsi="Times New Roman"/>
                <w:sz w:val="20"/>
              </w:rPr>
              <w:t>0.15 (15%)</w:t>
            </w:r>
          </w:p>
        </w:tc>
        <w:tc>
          <w:tcPr>
            <w:tcW w:type="dxa" w:w="2946"/>
          </w:tcPr>
          <w:p>
            <w:r/>
            <w:r>
              <w:rPr>
                <w:rFonts w:ascii="Times New Roman" w:hAnsi="Times New Roman"/>
                <w:sz w:val="20"/>
              </w:rPr>
              <w:t>Nivel representativo de perturbacion</w:t>
            </w:r>
          </w:p>
        </w:tc>
      </w:tr>
      <w:tr>
        <w:tc>
          <w:tcPr>
            <w:tcW w:type="dxa" w:w="2946"/>
          </w:tcPr>
          <w:p>
            <w:r/>
            <w:r>
              <w:rPr>
                <w:rFonts w:ascii="Times New Roman" w:hAnsi="Times New Roman"/>
                <w:sz w:val="20"/>
              </w:rPr>
              <w:t>Malla (H.E.2)</w:t>
            </w:r>
          </w:p>
        </w:tc>
        <w:tc>
          <w:tcPr>
            <w:tcW w:type="dxa" w:w="2946"/>
          </w:tcPr>
          <w:p>
            <w:r/>
            <w:r>
              <w:rPr>
                <w:rFonts w:ascii="Times New Roman" w:hAnsi="Times New Roman"/>
                <w:sz w:val="20"/>
              </w:rPr>
              <w:t>60x30 (1800 elem.)</w:t>
            </w:r>
          </w:p>
        </w:tc>
        <w:tc>
          <w:tcPr>
            <w:tcW w:type="dxa" w:w="2946"/>
          </w:tcPr>
          <w:p>
            <w:r/>
            <w:r>
              <w:rPr>
                <w:rFonts w:ascii="Times New Roman" w:hAnsi="Times New Roman"/>
                <w:sz w:val="20"/>
              </w:rPr>
              <w:t>Resolucion intermedia para barridos</w:t>
            </w:r>
          </w:p>
        </w:tc>
      </w:tr>
    </w:tbl>
    <w:p/>
    <w:p>
      <w:pPr>
        <w:pStyle w:val="Heading2"/>
      </w:pPr>
      <w:r>
        <w:t>4.3 Rangos de barrido</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D9E2F3"/>
          </w:tcPr>
          <w:p>
            <w:pPr>
              <w:jc w:val="center"/>
            </w:pPr>
            <w:r/>
            <w:r>
              <w:rPr>
                <w:rFonts w:ascii="Times New Roman" w:hAnsi="Times New Roman"/>
                <w:b/>
                <w:sz w:val="20"/>
              </w:rPr>
              <w:t>Barrido</w:t>
            </w:r>
          </w:p>
        </w:tc>
        <w:tc>
          <w:tcPr>
            <w:tcW w:type="dxa" w:w="2946"/>
            <w:shd w:fill="D9E2F3"/>
          </w:tcPr>
          <w:p>
            <w:pPr>
              <w:jc w:val="center"/>
            </w:pPr>
            <w:r/>
            <w:r>
              <w:rPr>
                <w:rFonts w:ascii="Times New Roman" w:hAnsi="Times New Roman"/>
                <w:b/>
                <w:sz w:val="20"/>
              </w:rPr>
              <w:t>Valores</w:t>
            </w:r>
          </w:p>
        </w:tc>
        <w:tc>
          <w:tcPr>
            <w:tcW w:type="dxa" w:w="2946"/>
            <w:shd w:fill="D9E2F3"/>
          </w:tcPr>
          <w:p>
            <w:pPr>
              <w:jc w:val="center"/>
            </w:pPr>
            <w:r/>
            <w:r>
              <w:rPr>
                <w:rFonts w:ascii="Times New Roman" w:hAnsi="Times New Roman"/>
                <w:b/>
                <w:sz w:val="20"/>
              </w:rPr>
              <w:t>Verificacion</w:t>
            </w:r>
          </w:p>
        </w:tc>
      </w:tr>
      <w:tr>
        <w:tc>
          <w:tcPr>
            <w:tcW w:type="dxa" w:w="2946"/>
          </w:tcPr>
          <w:p>
            <w:r/>
            <w:r>
              <w:rPr>
                <w:rFonts w:ascii="Times New Roman" w:hAnsi="Times New Roman"/>
                <w:sz w:val="20"/>
              </w:rPr>
              <w:t>Penalizacion p</w:t>
            </w:r>
          </w:p>
        </w:tc>
        <w:tc>
          <w:tcPr>
            <w:tcW w:type="dxa" w:w="2946"/>
          </w:tcPr>
          <w:p>
            <w:r/>
            <w:r>
              <w:rPr>
                <w:rFonts w:ascii="Times New Roman" w:hAnsi="Times New Roman"/>
                <w:sz w:val="20"/>
              </w:rPr>
              <w:t>{1, 2, 3, 4}</w:t>
            </w:r>
          </w:p>
        </w:tc>
        <w:tc>
          <w:tcPr>
            <w:tcW w:type="dxa" w:w="2946"/>
          </w:tcPr>
          <w:p>
            <w:r/>
            <w:r>
              <w:rPr>
                <w:rFonts w:ascii="Times New Roman" w:hAnsi="Times New Roman"/>
                <w:sz w:val="20"/>
              </w:rPr>
              <w:t>H.E.2b' — invariancia de B1</w:t>
            </w:r>
          </w:p>
        </w:tc>
      </w:tr>
      <w:tr>
        <w:tc>
          <w:tcPr>
            <w:tcW w:type="dxa" w:w="2946"/>
          </w:tcPr>
          <w:p>
            <w:r/>
            <w:r>
              <w:rPr>
                <w:rFonts w:ascii="Times New Roman" w:hAnsi="Times New Roman"/>
                <w:sz w:val="20"/>
              </w:rPr>
              <w:t>Malla Ne</w:t>
            </w:r>
          </w:p>
        </w:tc>
        <w:tc>
          <w:tcPr>
            <w:tcW w:type="dxa" w:w="2946"/>
          </w:tcPr>
          <w:p>
            <w:r/>
            <w:r>
              <w:rPr>
                <w:rFonts w:ascii="Times New Roman" w:hAnsi="Times New Roman"/>
                <w:sz w:val="20"/>
              </w:rPr>
              <w:t>{1600, 6400, 14400}</w:t>
            </w:r>
          </w:p>
        </w:tc>
        <w:tc>
          <w:tcPr>
            <w:tcW w:type="dxa" w:w="2946"/>
          </w:tcPr>
          <w:p>
            <w:r/>
            <w:r>
              <w:rPr>
                <w:rFonts w:ascii="Times New Roman" w:hAnsi="Times New Roman"/>
                <w:sz w:val="20"/>
              </w:rPr>
              <w:t>H.E.2b' — independencia de malla</w:t>
            </w:r>
          </w:p>
        </w:tc>
      </w:tr>
      <w:tr>
        <w:tc>
          <w:tcPr>
            <w:tcW w:type="dxa" w:w="2946"/>
          </w:tcPr>
          <w:p>
            <w:r/>
            <w:r>
              <w:rPr>
                <w:rFonts w:ascii="Times New Roman" w:hAnsi="Times New Roman"/>
                <w:sz w:val="20"/>
              </w:rPr>
              <w:t>Radio r_min</w:t>
            </w:r>
          </w:p>
        </w:tc>
        <w:tc>
          <w:tcPr>
            <w:tcW w:type="dxa" w:w="2946"/>
          </w:tcPr>
          <w:p>
            <w:r/>
            <w:r>
              <w:rPr>
                <w:rFonts w:ascii="Times New Roman" w:hAnsi="Times New Roman"/>
                <w:sz w:val="20"/>
              </w:rPr>
              <w:t>[1.5, 2.0, 2.5, 3.0, 3.5, 4.0]</w:t>
            </w:r>
          </w:p>
        </w:tc>
        <w:tc>
          <w:tcPr>
            <w:tcW w:type="dxa" w:w="2946"/>
          </w:tcPr>
          <w:p>
            <w:r/>
            <w:r>
              <w:rPr>
                <w:rFonts w:ascii="Times New Roman" w:hAnsi="Times New Roman"/>
                <w:sz w:val="20"/>
              </w:rPr>
              <w:t>H.E.2b' — invariancia bajo variacion</w:t>
            </w:r>
          </w:p>
        </w:tc>
      </w:tr>
    </w:tbl>
    <w:p/>
    <w:p>
      <w:r>
        <w:br w:type="page"/>
      </w:r>
    </w:p>
    <w:p>
      <w:pPr>
        <w:pStyle w:val="Heading1"/>
      </w:pPr>
      <w:r>
        <w:t>5. Empaquetado como Ejecutable</w:t>
      </w:r>
    </w:p>
    <w:p>
      <w:pPr>
        <w:pStyle w:val="Heading2"/>
      </w:pPr>
      <w:r>
        <w:t>5.1 Proceso de generacion del .exe</w:t>
      </w:r>
    </w:p>
    <w:p>
      <w:r>
        <w:t>El ejecutable se genera mediante el script build_exe.bat, que ejecuta los siguientes pasos en secuencia:</w:t>
      </w:r>
    </w:p>
    <w:p>
      <w:pPr>
        <w:pStyle w:val="ListNumber"/>
      </w:pPr>
      <w:r>
        <w:t>Verificacion e instalacion del gestor de paquetes uv.</w:t>
      </w:r>
    </w:p>
    <w:p>
      <w:pPr>
        <w:pStyle w:val="ListNumber"/>
      </w:pPr>
      <w:r>
        <w:t>Creacion de entorno virtual temporal (build_venv).</w:t>
      </w:r>
    </w:p>
    <w:p>
      <w:pPr>
        <w:pStyle w:val="ListNumber"/>
      </w:pPr>
      <w:r>
        <w:t>Instalacion de dependencias con --python para forzar el target correcto.</w:t>
      </w:r>
    </w:p>
    <w:p>
      <w:pPr>
        <w:pStyle w:val="ListNumber"/>
      </w:pPr>
      <w:r>
        <w:t>Generacion del icono .ico desde OTopologica.jpg (Pillow).</w:t>
      </w:r>
    </w:p>
    <w:p>
      <w:pPr>
        <w:pStyle w:val="ListNumber"/>
      </w:pPr>
      <w:r>
        <w:t>Ejecucion de streamlit-desktop-app build con PyInstaller.</w:t>
      </w:r>
    </w:p>
    <w:p>
      <w:pPr>
        <w:pStyle w:val="ListNumber"/>
      </w:pPr>
      <w:r>
        <w:t>Empaquetado en modo --onefile con todos los hidden imports.</w:t>
      </w:r>
    </w:p>
    <w:p>
      <w:pPr>
        <w:pStyle w:val="Heading2"/>
      </w:pPr>
      <w:r>
        <w:t>5.2 Hidden imports</w:t>
      </w:r>
    </w:p>
    <w:p>
      <w:r>
        <w:t>PyInstaller no detecta automaticamente todas las dependencias dinamicas. Los siguientes paquetes deben incluirse explicitamente como hidden imports:</w:t>
      </w:r>
    </w:p>
    <w:p>
      <w:pPr>
        <w:pStyle w:val="ListBullet"/>
      </w:pPr>
      <w:r>
        <w:t>matplotlib.backends.backend_pdf, matplotlib.backends.backend_agg, matplotlib.font_manager, matplotlib.patches</w:t>
      </w:r>
    </w:p>
    <w:p>
      <w:pPr>
        <w:pStyle w:val="ListBullet"/>
      </w:pPr>
      <w:r>
        <w:t>ripser, gudhi, gudhi.rips_complex, gudhi.simplex_tree</w:t>
      </w:r>
    </w:p>
    <w:p>
      <w:pPr>
        <w:pStyle w:val="ListBullet"/>
      </w:pPr>
      <w:r>
        <w:t>sklearn.cluster, sklearn.metrics, sklearn.decomposition</w:t>
      </w:r>
    </w:p>
    <w:p>
      <w:pPr>
        <w:pStyle w:val="ListBullet"/>
      </w:pPr>
      <w:r>
        <w:t>scipy.sparse, scipy.sparse.linalg, scipy.spatial.distance</w:t>
      </w:r>
    </w:p>
    <w:p>
      <w:pPr>
        <w:pStyle w:val="ListBullet"/>
      </w:pPr>
      <w:r>
        <w:t>tda.core.topology, tda.core.betti2d, tda.core.metric, tda.optimization.metric_simp, tda.optimization.beam_optimizer</w:t>
      </w:r>
    </w:p>
    <w:p>
      <w:pPr>
        <w:pStyle w:val="Heading2"/>
      </w:pPr>
      <w:r>
        <w:t>5.3 Datos incluidos en el bundle</w:t>
      </w:r>
    </w:p>
    <w:tbl>
      <w:tblPr>
        <w:tblStyle w:val="TableGrid"/>
        <w:tblW w:type="auto" w:w="0"/>
        <w:jc w:val="center"/>
        <w:tblLook w:firstColumn="1" w:firstRow="1" w:lastColumn="0" w:lastRow="0" w:noHBand="0" w:noVBand="1" w:val="04A0"/>
      </w:tblPr>
      <w:tblGrid>
        <w:gridCol w:w="4419"/>
        <w:gridCol w:w="4419"/>
      </w:tblGrid>
      <w:tr>
        <w:tc>
          <w:tcPr>
            <w:tcW w:type="dxa" w:w="4419"/>
            <w:shd w:fill="D9E2F3"/>
          </w:tcPr>
          <w:p>
            <w:pPr>
              <w:jc w:val="center"/>
            </w:pPr>
            <w:r/>
            <w:r>
              <w:rPr>
                <w:rFonts w:ascii="Times New Roman" w:hAnsi="Times New Roman"/>
                <w:b/>
                <w:sz w:val="20"/>
              </w:rPr>
              <w:t>Parametro --add-data</w:t>
            </w:r>
          </w:p>
        </w:tc>
        <w:tc>
          <w:tcPr>
            <w:tcW w:type="dxa" w:w="4419"/>
            <w:shd w:fill="D9E2F3"/>
          </w:tcPr>
          <w:p>
            <w:pPr>
              <w:jc w:val="center"/>
            </w:pPr>
            <w:r/>
            <w:r>
              <w:rPr>
                <w:rFonts w:ascii="Times New Roman" w:hAnsi="Times New Roman"/>
                <w:b/>
                <w:sz w:val="20"/>
              </w:rPr>
              <w:t>Contenido incluido</w:t>
            </w:r>
          </w:p>
        </w:tc>
      </w:tr>
      <w:tr>
        <w:tc>
          <w:tcPr>
            <w:tcW w:type="dxa" w:w="4419"/>
          </w:tcPr>
          <w:p>
            <w:r/>
            <w:r>
              <w:rPr>
                <w:rFonts w:ascii="Times New Roman" w:hAnsi="Times New Roman"/>
                <w:sz w:val="20"/>
              </w:rPr>
              <w:t>src/tda;tda</w:t>
            </w:r>
          </w:p>
        </w:tc>
        <w:tc>
          <w:tcPr>
            <w:tcW w:type="dxa" w:w="4419"/>
          </w:tcPr>
          <w:p>
            <w:r/>
            <w:r>
              <w:rPr>
                <w:rFonts w:ascii="Times New Roman" w:hAnsi="Times New Roman"/>
                <w:sz w:val="20"/>
              </w:rPr>
              <w:t>Codigo fuente completo del paquete</w:t>
            </w:r>
          </w:p>
        </w:tc>
      </w:tr>
      <w:tr>
        <w:tc>
          <w:tcPr>
            <w:tcW w:type="dxa" w:w="4419"/>
          </w:tcPr>
          <w:p>
            <w:r/>
            <w:r>
              <w:rPr>
                <w:rFonts w:ascii="Times New Roman" w:hAnsi="Times New Roman"/>
                <w:sz w:val="20"/>
              </w:rPr>
              <w:t>src/tda/app/pages;pages</w:t>
            </w:r>
          </w:p>
        </w:tc>
        <w:tc>
          <w:tcPr>
            <w:tcW w:type="dxa" w:w="4419"/>
          </w:tcPr>
          <w:p>
            <w:r/>
            <w:r>
              <w:rPr>
                <w:rFonts w:ascii="Times New Roman" w:hAnsi="Times New Roman"/>
                <w:sz w:val="20"/>
              </w:rPr>
              <w:t>Paginas de interfaz Streamlit</w:t>
            </w:r>
          </w:p>
        </w:tc>
      </w:tr>
      <w:tr>
        <w:tc>
          <w:tcPr>
            <w:tcW w:type="dxa" w:w="4419"/>
          </w:tcPr>
          <w:p>
            <w:r/>
            <w:r>
              <w:rPr>
                <w:rFonts w:ascii="Times New Roman" w:hAnsi="Times New Roman"/>
                <w:sz w:val="20"/>
              </w:rPr>
              <w:t>src/img;img</w:t>
            </w:r>
          </w:p>
        </w:tc>
        <w:tc>
          <w:tcPr>
            <w:tcW w:type="dxa" w:w="4419"/>
          </w:tcPr>
          <w:p>
            <w:r/>
            <w:r>
              <w:rPr>
                <w:rFonts w:ascii="Times New Roman" w:hAnsi="Times New Roman"/>
                <w:sz w:val="20"/>
              </w:rPr>
              <w:t>Logos y archivos estaticos</w:t>
            </w:r>
          </w:p>
        </w:tc>
      </w:tr>
      <w:tr>
        <w:tc>
          <w:tcPr>
            <w:tcW w:type="dxa" w:w="4419"/>
          </w:tcPr>
          <w:p>
            <w:r/>
            <w:r>
              <w:rPr>
                <w:rFonts w:ascii="Times New Roman" w:hAnsi="Times New Roman"/>
                <w:sz w:val="20"/>
              </w:rPr>
              <w:t>mpl-data;matplotlib/mpl-data</w:t>
            </w:r>
          </w:p>
        </w:tc>
        <w:tc>
          <w:tcPr>
            <w:tcW w:type="dxa" w:w="4419"/>
          </w:tcPr>
          <w:p>
            <w:r/>
            <w:r>
              <w:rPr>
                <w:rFonts w:ascii="Times New Roman" w:hAnsi="Times New Roman"/>
                <w:sz w:val="20"/>
              </w:rPr>
              <w:t>Datos de fuentes de matplotlib</w:t>
            </w:r>
          </w:p>
        </w:tc>
      </w:tr>
    </w:tbl>
    <w:p/>
    <w:p>
      <w:r>
        <w:br w:type="page"/>
      </w:r>
    </w:p>
    <w:p>
      <w:pPr>
        <w:pStyle w:val="Heading1"/>
      </w:pPr>
      <w:r>
        <w:t>6. Hallazgos Principales</w:t>
      </w:r>
    </w:p>
    <w:p>
      <w:pPr>
        <w:pStyle w:val="Heading2"/>
      </w:pPr>
      <w:r>
        <w:t>6.1 Hallazgo 1: Inestabilidad de Bk</w:t>
      </w:r>
    </w:p>
    <w:p>
      <w:r>
        <w:t>Los numeros de Betti NO son invariantes bajo ruido gaussiano. La version original de la hipotesis H.E.1 postulaba que Bk se mantendria estable bajo perturbaciones aleatorias, pero los experimentos demuestran que la tasa de acierto cae significativamente incluso para niveles moderados de ruido.</w:t>
      </w:r>
    </w:p>
    <w:p>
      <w:r>
        <w:t>El teorema de estabilidad (Cohen-Steiner et al.) no protege Bk directamente: acota la distancia bottleneck entre diagramas de persistencia, no los valores de Bk a escala fija de filtracion.</w:t>
      </w:r>
    </w:p>
    <w:p>
      <w:pPr>
        <w:pStyle w:val="Heading2"/>
      </w:pPr>
      <w:r>
        <w:t>6.2 Hallazgo 2: Validacion de H.E.1a'</w:t>
      </w:r>
    </w:p>
    <w:p>
      <w:r>
        <w:t>La cota dB/diam(X) &lt;= 2q SI se cumple para todas las configuraciones evaluadas. Esto valida la hipotesis reformulada H.E.1a': la estabilidad se verifica en terminos de distancias entre diagramas de persistencia, no en valores absolutos de los numeros de Betti.</w:t>
      </w:r>
    </w:p>
    <w:p>
      <w:pPr>
        <w:pStyle w:val="Heading2"/>
      </w:pPr>
      <w:r>
        <w:t>6.3 Hallazgo 3: Optimizacion SIMP</w:t>
      </w:r>
    </w:p>
    <w:p>
      <w:r>
        <w:t>La reduccion de compliance supera el 40% en todas las configuraciones evaluadas, validando la hipotesis H.E.2a'. La metrica compuesta mu_alpha identifica p=3 como configuracion Pareto-optima: minimiza compliance manteniendo B1=2 (topologia robusta), validando H.E.2b'.</w:t>
      </w:r>
    </w:p>
    <w:p>
      <w:pPr>
        <w:pStyle w:val="Heading2"/>
      </w:pPr>
      <w:r>
        <w:t>6.4 Hallazgo 4: Comparacion Integrada</w:t>
      </w:r>
    </w:p>
    <w:p>
      <w:r>
        <w:t>La metrica mu_alpha resuelve efectivamente el orden parcial entre configuraciones SIMP, identificando las soluciones que平衡an eficiencia estructural y complejidad topologica. El ordenamiento Pareto generado por mu_alpha coincide con el criterio experto de seleccion de diseno.</w:t>
      </w:r>
    </w:p>
    <w:sectPr w:rsidR="00FC693F" w:rsidRPr="0006063C" w:rsidSect="00034616">
      <w:footerReference w:type="default" r:id="rId9"/>
      <w:pgSz w:w="12240" w:h="15840"/>
      <w:pgMar w:top="1701" w:right="1701" w:bottom="1701" w:left="1701" w:header="1417" w:footer="14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t xml:space="preserve"> PAGE </w:t>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ind w:left="1134" w:right="1134"/>
    </w:pPr>
    <w:rPr>
      <w:rFonts w:ascii="Times New Roman" w:hAnsi="Times New Roman"/>
      <w:b/>
      <w:bCs/>
      <w:i/>
      <w:iCs/>
      <w:color w:val="4F81BD" w:themeColor="accent1"/>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