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C62828"/>
          <w:sz w:val="52"/>
          <w:szCs w:val="52"/>
        </w:rPr>
        <w:t xml:space="preserve">FORENSIC SYSTEM AUDIT</w:t>
      </w:r>
    </w:p>
    <w:p>
      <w:pPr>
        <w:spacing w:after="200"/>
        <w:jc w:val="center"/>
      </w:pPr>
      <w:r>
        <w:rPr>
          <w:rFonts w:ascii="Arial" w:cs="Arial" w:eastAsia="Arial" w:hAnsi="Arial"/>
          <w:b/>
          <w:bCs/>
          <w:color w:val="1A1A2E"/>
          <w:sz w:val="40"/>
          <w:szCs w:val="40"/>
        </w:rPr>
        <w:t xml:space="preserve">NYX CORE FINAI PLATFORM</w:t>
      </w:r>
    </w:p>
    <w:p>
      <w:pPr>
        <w:pBdr>
          <w:top w:val="single" w:color="C62828" w:sz="6" w:space="8"/>
        </w:pBdr>
        <w:spacing w:after="80"/>
        <w:jc w:val="center"/>
      </w:pPr>
      <w:r>
        <w:rPr>
          <w:rFonts w:ascii="Arial" w:cs="Arial" w:eastAsia="Arial" w:hAnsi="Arial"/>
          <w:color w:val="616161"/>
          <w:sz w:val="22"/>
          <w:szCs w:val="22"/>
        </w:rPr>
        <w:t xml:space="preserve">SOCAR Energy Georgia LLC | Financial Intelligence System</w:t>
      </w:r>
    </w:p>
    <w:p>
      <w:pPr>
        <w:spacing w:after="600"/>
        <w:jc w:val="center"/>
      </w:pPr>
      <w:r>
        <w:rPr>
          <w:rFonts w:ascii="Arial" w:cs="Arial" w:eastAsia="Arial" w:hAnsi="Arial"/>
          <w:i/>
          <w:iCs/>
          <w:color w:val="616161"/>
          <w:sz w:val="22"/>
          <w:szCs w:val="22"/>
        </w:rPr>
        <w:t xml:space="preserve">Adversarial Technical Due Diligence | April 2026</w:t>
      </w:r>
    </w:p>
    <w:p>
      <w:pPr>
        <w:jc w:val="center"/>
      </w:pPr>
      <w:r>
        <w:rPr>
          <w:rFonts w:ascii="Arial" w:cs="Arial" w:eastAsia="Arial" w:hAnsi="Arial"/>
          <w:b/>
          <w:bCs/>
          <w:color w:val="C62828"/>
          <w:sz w:val="20"/>
          <w:szCs w:val="20"/>
        </w:rPr>
        <w:t xml:space="preserve">CLASSIFICATION: CONFIDENTIAL</w:t>
      </w:r>
    </w:p>
    <w:p>
      <w:pPr>
        <w:spacing w:after="200"/>
        <w:jc w:val="center"/>
      </w:pPr>
      <w:r>
        <w:rPr>
          <w:rFonts w:ascii="Arial" w:cs="Arial" w:eastAsia="Arial" w:hAnsi="Arial"/>
          <w:color w:val="616161"/>
          <w:sz w:val="18"/>
          <w:szCs w:val="18"/>
        </w:rPr>
        <w:t xml:space="preserve">Audit Methodology: Tier-1 VC Technical Partner (Sequoia/a16z Level)</w:t>
      </w:r>
    </w:p>
    <w:p>
      <w:pPr>
        <w:spacing w:after="200"/>
        <w:jc w:val="center"/>
      </w:pPr>
      <w:r>
        <w:rPr>
          <w:rFonts w:ascii="Arial" w:cs="Arial" w:eastAsia="Arial" w:hAnsi="Arial"/>
          <w:i/>
          <w:iCs/>
          <w:color w:val="1A1A2E"/>
          <w:sz w:val="20"/>
          <w:szCs w:val="20"/>
        </w:rPr>
        <w:t xml:space="preserve">Audit Principle: "If it is not proven through execution, logic, or code — it does NOT exist."</w:t>
      </w:r>
    </w:p>
    <w:p>
      <w:r>
        <w:br w:type="page"/>
      </w:r>
    </w:p>
    <w:p>
      <w:pPr>
        <w:pStyle w:val="Heading1"/>
      </w:pPr>
      <w:r>
        <w:t xml:space="preserve">1. TRUTH SUMMARY</w:t>
      </w:r>
    </w:p>
    <w:p>
      <w:pPr>
        <w:pBdr>
          <w:bottom w:val="single" w:color="1565C0" w:sz="6" w:space="1"/>
        </w:pBdr>
        <w:spacing w:after="200" w:before="200"/>
      </w:pPr>
    </w:p>
    <w:p>
      <w:pPr>
        <w:spacing w:after="120"/>
      </w:pPr>
      <w:r>
        <w:rPr>
          <w:rFonts w:ascii="Arial" w:cs="Arial" w:eastAsia="Arial" w:hAnsi="Arial"/>
          <w:color w:val="1A1A2E"/>
          <w:sz w:val="22"/>
          <w:szCs w:val="22"/>
        </w:rPr>
        <w:t xml:space="preserve">NYX Core FinAI is a </w:t>
      </w:r>
      <w:r>
        <w:rPr>
          <w:rFonts w:ascii="Arial" w:cs="Arial" w:eastAsia="Arial" w:hAnsi="Arial"/>
          <w:b/>
          <w:bCs/>
          <w:color w:val="1A1A2E"/>
          <w:sz w:val="22"/>
          <w:szCs w:val="22"/>
        </w:rPr>
        <w:t xml:space="preserve">real, production-grade financial intelligence platform</w:t>
      </w:r>
      <w:r>
        <w:rPr>
          <w:rFonts w:ascii="Arial" w:cs="Arial" w:eastAsia="Arial" w:hAnsi="Arial"/>
          <w:color w:val="1A1A2E"/>
          <w:sz w:val="22"/>
          <w:szCs w:val="22"/>
        </w:rPr>
        <w:t xml:space="preserve"> with a deterministic financial computation engine at its core, wrapped in an LLM-powered conversational interface. It is </w:t>
      </w:r>
      <w:r>
        <w:rPr>
          <w:rFonts w:ascii="Arial" w:cs="Arial" w:eastAsia="Arial" w:hAnsi="Arial"/>
          <w:b/>
          <w:bCs/>
          <w:color w:val="C62828"/>
          <w:sz w:val="22"/>
          <w:szCs w:val="22"/>
        </w:rPr>
        <w:t xml:space="preserve">NOT a mockup, demo, or LLM wrapper.</w:t>
      </w:r>
    </w:p>
    <w:p>
      <w:pPr>
        <w:spacing w:after="120"/>
      </w:pPr>
      <w:r>
        <w:rPr>
          <w:rFonts w:ascii="Arial" w:cs="Arial" w:eastAsia="Arial" w:hAnsi="Arial"/>
          <w:color w:val="1A1A2E"/>
          <w:sz w:val="22"/>
          <w:szCs w:val="22"/>
        </w:rPr>
        <w:t xml:space="preserve">The system is built for SOCAR Energy Georgia LLC and handles Georgian Chart of Accounts (1C ERP format), IFRS-compliant financial statements, and GEL-denominated transactions. The backend is a FastAPI application with 33 routers, 17 database models, and 40+ services. The financial engine computes P&amp;L, Balance Sheet, Cash Flow, anomaly detection, forecasting, scenario analysis, and multi-entity consolidation using deterministic algorithms — no LLM involvement in calculations.</w:t>
      </w:r>
    </w:p>
    <w:p>
      <w:pPr>
        <w:spacing w:after="120"/>
      </w:pPr>
      <w:r>
        <w:rPr>
          <w:rFonts w:ascii="Arial" w:cs="Arial" w:eastAsia="Arial" w:hAnsi="Arial"/>
          <w:color w:val="1A1A2E"/>
          <w:sz w:val="22"/>
          <w:szCs w:val="22"/>
        </w:rPr>
        <w:t xml:space="preserve">However, the system has a critical architectural split: </w:t>
      </w:r>
      <w:r>
        <w:rPr>
          <w:rFonts w:ascii="Arial" w:cs="Arial" w:eastAsia="Arial" w:hAnsi="Arial"/>
          <w:b/>
          <w:bCs/>
          <w:color w:val="1A1A2E"/>
          <w:sz w:val="22"/>
          <w:szCs w:val="22"/>
        </w:rPr>
        <w:t xml:space="preserve">the multi-agent system is designed with real intent but implemented with LLM-centric control flow.</w:t>
      </w:r>
      <w:r>
        <w:rPr>
          <w:rFonts w:ascii="Arial" w:cs="Arial" w:eastAsia="Arial" w:hAnsi="Arial"/>
          <w:color w:val="1A1A2E"/>
          <w:sz w:val="22"/>
          <w:szCs w:val="22"/>
        </w:rPr>
        <w:t xml:space="preserve"> The Supervisor routes tools to specialized agents, but Claude (Anthropic LLM) drives the control loop. Without the LLM API key, the conversational interface fails completely — though the raw financial APIs remain fully functional.</w:t>
      </w:r>
    </w:p>
    <w:p>
      <w:pPr>
        <w:spacing w:after="120"/>
      </w:pPr>
      <w:r>
        <w:rPr>
          <w:rFonts w:ascii="Arial" w:cs="Arial" w:eastAsia="Arial" w:hAnsi="Arial"/>
          <w:color w:val="1A1A2E"/>
          <w:sz w:val="22"/>
          <w:szCs w:val="22"/>
        </w:rPr>
        <w:t xml:space="preserve">The frontend is a 3,990-line self-contained HTML file that operates in hybrid mode: online with backend APIs or offline with embedded seed data (344 transactions). This is graceful degradation by design, but it means the demo can appear fully functional without any backend running — a potential source of confusion for evaluators.</w:t>
      </w:r>
    </w:p>
    <w:p>
      <w:r>
        <w:br w:type="page"/>
      </w:r>
    </w:p>
    <w:p>
      <w:pPr>
        <w:pStyle w:val="Heading1"/>
      </w:pPr>
      <w:r>
        <w:t xml:space="preserve">2. MATURITY SCORES</w:t>
      </w:r>
    </w:p>
    <w:p>
      <w:pPr>
        <w:pBdr>
          <w:bottom w:val="single" w:color="1565C0"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2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Frontend (UI/UX)</w:t>
            </w:r>
          </w:p>
        </w:tc>
        <w:tc>
          <w:tcPr>
            <w:tcW w:type="dxa" w:w="208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Arial" w:cs="Arial" w:eastAsia="Arial" w:hAnsi="Arial"/>
                <w:b/>
                <w:bCs/>
                <w:color w:val="E65100"/>
                <w:sz w:val="24"/>
                <w:szCs w:val="24"/>
              </w:rPr>
              <w:t xml:space="preserve">6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65100"/>
                <w:sz w:val="20"/>
                <w:szCs w:val="20"/>
              </w:rPr>
              <w:t xml:space="preserve">CONDITIONAL</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Backend (API/Services)</w:t>
            </w:r>
          </w:p>
        </w:tc>
        <w:tc>
          <w:tcPr>
            <w:tcW w:type="dxa" w:w="2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4"/>
                <w:szCs w:val="24"/>
              </w:rPr>
              <w:t xml:space="preserve">8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PASS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LLM Intelligence</w:t>
            </w:r>
          </w:p>
        </w:tc>
        <w:tc>
          <w:tcPr>
            <w:tcW w:type="dxa" w:w="208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Arial" w:cs="Arial" w:eastAsia="Arial" w:hAnsi="Arial"/>
                <w:b/>
                <w:bCs/>
                <w:color w:val="E65100"/>
                <w:sz w:val="24"/>
                <w:szCs w:val="24"/>
              </w:rPr>
              <w:t xml:space="preserve">6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65100"/>
                <w:sz w:val="20"/>
                <w:szCs w:val="20"/>
              </w:rPr>
              <w:t xml:space="preserve">CONDITIONAL</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Agent System</w:t>
            </w:r>
          </w:p>
        </w:tc>
        <w:tc>
          <w:tcPr>
            <w:tcW w:type="dxa" w:w="208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Arial" w:cs="Arial" w:eastAsia="Arial" w:hAnsi="Arial"/>
                <w:b/>
                <w:bCs/>
                <w:color w:val="E65100"/>
                <w:sz w:val="24"/>
                <w:szCs w:val="24"/>
              </w:rPr>
              <w:t xml:space="preserve">4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65100"/>
                <w:sz w:val="20"/>
                <w:szCs w:val="20"/>
              </w:rPr>
              <w:t xml:space="preserve">CONDITIONAL</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Financial Accuracy</w:t>
            </w:r>
          </w:p>
        </w:tc>
        <w:tc>
          <w:tcPr>
            <w:tcW w:type="dxa" w:w="2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4"/>
                <w:szCs w:val="24"/>
              </w:rPr>
              <w:t xml:space="preserve">8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PASS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Memory System</w:t>
            </w:r>
          </w:p>
        </w:tc>
        <w:tc>
          <w:tcPr>
            <w:tcW w:type="dxa" w:w="2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4"/>
                <w:szCs w:val="24"/>
              </w:rPr>
              <w:t xml:space="preserve">7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PASS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Data Layer (DB/Schema)</w:t>
            </w:r>
          </w:p>
        </w:tc>
        <w:tc>
          <w:tcPr>
            <w:tcW w:type="dxa" w:w="2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4"/>
                <w:szCs w:val="24"/>
              </w:rPr>
              <w:t xml:space="preserve">7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PASS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Observability &amp; DevOps</w:t>
            </w:r>
          </w:p>
        </w:tc>
        <w:tc>
          <w:tcPr>
            <w:tcW w:type="dxa" w:w="2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4"/>
                <w:szCs w:val="24"/>
              </w:rPr>
              <w:t xml:space="preserve">7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PASS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Security &amp; Auth</w:t>
            </w:r>
          </w:p>
        </w:tc>
        <w:tc>
          <w:tcPr>
            <w:tcW w:type="dxa" w:w="208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Arial" w:cs="Arial" w:eastAsia="Arial" w:hAnsi="Arial"/>
                <w:b/>
                <w:bCs/>
                <w:color w:val="E65100"/>
                <w:sz w:val="24"/>
                <w:szCs w:val="24"/>
              </w:rPr>
              <w:t xml:space="preserve">6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65100"/>
                <w:sz w:val="20"/>
                <w:szCs w:val="20"/>
              </w:rPr>
              <w:t xml:space="preserve">CONDITIONAL</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OVERALL</w:t>
            </w:r>
          </w:p>
        </w:tc>
        <w:tc>
          <w:tcPr>
            <w:tcW w:type="dxa" w:w="208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Arial" w:cs="Arial" w:eastAsia="Arial" w:hAnsi="Arial"/>
                <w:b/>
                <w:bCs/>
                <w:color w:val="E65100"/>
                <w:sz w:val="24"/>
                <w:szCs w:val="24"/>
              </w:rPr>
              <w:t xml:space="preserve">6 / 10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65100"/>
                <w:sz w:val="20"/>
                <w:szCs w:val="20"/>
              </w:rPr>
              <w:t xml:space="preserve">CONDITIONAL</w:t>
            </w:r>
          </w:p>
        </w:tc>
      </w:tr>
    </w:tbl>
    <w:p>
      <w:pPr>
        <w:spacing w:after="120"/>
      </w:pPr>
      <w:r>
        <w:rPr>
          <w:rFonts w:ascii="Arial" w:cs="Arial" w:eastAsia="Arial" w:hAnsi="Arial"/>
          <w:color w:val="1A1A2E"/>
          <w:sz w:val="22"/>
          <w:szCs w:val="22"/>
        </w:rPr>
        <w:t xml:space="preserve"/>
      </w:r>
    </w:p>
    <w:p>
      <w:pPr>
        <w:spacing w:after="120"/>
      </w:pPr>
      <w:r>
        <w:rPr>
          <w:rFonts w:ascii="Arial" w:cs="Arial" w:eastAsia="Arial" w:hAnsi="Arial"/>
          <w:i/>
          <w:iCs/>
          <w:color w:val="616161"/>
          <w:sz w:val="20"/>
          <w:szCs w:val="20"/>
        </w:rPr>
        <w:t xml:space="preserve">Scoring methodology: 0 = Non-existent, 1-3 = Prototype/Broken, 4-6 = Functional with caveats, 7-8 = Production-grade, 9-10 = Best-in-class.</w:t>
      </w:r>
    </w:p>
    <w:p>
      <w:r>
        <w:br w:type="page"/>
      </w:r>
    </w:p>
    <w:p>
      <w:pPr>
        <w:pStyle w:val="Heading1"/>
      </w:pPr>
      <w:r>
        <w:t xml:space="preserve">3. REAL VS FAKE ANALYSIS</w:t>
      </w:r>
    </w:p>
    <w:p>
      <w:pPr>
        <w:pBdr>
          <w:bottom w:val="single" w:color="1565C0"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P&amp;L Engine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Deterministic waterfall: Revenue &gt; COGS &gt; Gross Margin &gt; SG&amp;A &gt; EBITDA &gt; EBIT &gt; EBT &gt; Net Profit. Maps Georgian 1C COA codes. No LLM.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Balance Sheet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Double-entry with DR/CR logic. bs_equation_holds() validates Assets = L + E with 0.01 tolerance. Priority waterfall from IFRS-mapped data.</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Cash Flow Statement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Indirect method: Net Profit + D&amp;A + working capital changes. Deterministic.</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Anomaly Detection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4 statistical methods: Z-score, IQR, Benford's Law (chi-squared), seasonal. All numpy/pandas.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Forecasting</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6 methods: moving average, exponential smoothing, linear regression, CAGR, seasonal decomposition, auto-select. Deterministic.</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Scenario Engine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Deep-copy simulation. Revenue/COGS/volume/price/G&amp;A adjustments. Pure arithmetic.</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Consolidation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IFRS 10 compliant: currency translation (IAS 21), IC elimination, NCI calculation. Every elimination tracked.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COA Classification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40+ hardcoded rules for Georgian 1C accounts. 5-level hierarchical fallback. No ML.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Data Lineage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ETLAuditEvent tracks every upload step. DatasetSnapshot with fingerprinting.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Vector Store/RAG</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LlamaIndex + ChromaDB primary. Falls back to SQL LIKE search if unavailable. Never breaks.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Agent Supervisor</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E65100"/>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Real tool routing infrastructure exists. But LLM drives control flow — agents are reactive executors, not autonomous.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Multi-Agent System</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E65100"/>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AgentContext, AgentHealth, circuit breakers are real. But no inter-agent messaging, no agent autonomy, no persistent inter-agent state.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Agent Orchestration</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E65100"/>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LangGraph state machine exists but is a linear pipeline. Claude picks tools → supervisor routes. Sequential prompt chaining in agent costume.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Frontend Dashboards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E65100"/>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6 API fetch calls + WebSocket chat when backend online. Falls back to hardcoded SEED_DATA (344 transactions) offline.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Frontend Independence</w:t>
            </w:r>
          </w:p>
        </w:tc>
        <w:tc>
          <w:tcPr>
            <w:tcW w:type="dxa" w:w="14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FAKE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UI is fully functional without backend. All dashboards render from embedded seed data. Evaluators cannot distinguish online from offline.</w:t>
            </w:r>
          </w:p>
        </w:tc>
      </w:tr>
    </w:tbl>
    <w:p>
      <w:r>
        <w:br w:type="page"/>
      </w:r>
    </w:p>
    <w:p>
      <w:pPr>
        <w:pStyle w:val="Heading1"/>
      </w:pPr>
      <w:r>
        <w:t xml:space="preserve">4. CRITICAL FAILURES (TOP 10)</w:t>
      </w:r>
    </w:p>
    <w:p>
      <w:pPr>
        <w:pBdr>
          <w:bottom w:val="single" w:color="1565C0" w:sz="6" w:space="1"/>
        </w:pBdr>
        <w:spacing w:after="200" w:before="200"/>
      </w:pPr>
    </w:p>
    <w:p>
      <w:pPr>
        <w:pStyle w:val="Heading3"/>
      </w:pPr>
      <w:r>
        <w:t xml:space="preserve">F1: LLM Single Point of Failure</w:t>
      </w:r>
    </w:p>
    <w:p>
      <w:pPr>
        <w:spacing w:after="120"/>
      </w:pPr>
      <w:r>
        <w:rPr>
          <w:rFonts w:ascii="Arial" w:cs="Arial" w:eastAsia="Arial" w:hAnsi="Arial"/>
          <w:color w:val="1A1A2E"/>
          <w:sz w:val="22"/>
          <w:szCs w:val="22"/>
        </w:rPr>
        <w:t xml:space="preserve">The entire conversational interface crashes with ValueError if ANTHROPIC_API_KEY is missing. No graceful degradation for the chat path. The raw financial APIs work, but the primary user interaction channel is dead without Anthropic.</w:t>
      </w:r>
    </w:p>
    <w:p>
      <w:pPr>
        <w:pStyle w:val="Heading3"/>
      </w:pPr>
      <w:r>
        <w:t xml:space="preserve">F2: Agent System is Sequential Prompt Chaining</w:t>
      </w:r>
    </w:p>
    <w:p>
      <w:pPr>
        <w:spacing w:after="120"/>
      </w:pPr>
      <w:r>
        <w:rPr>
          <w:rFonts w:ascii="Arial" w:cs="Arial" w:eastAsia="Arial" w:hAnsi="Arial"/>
          <w:color w:val="1A1A2E"/>
          <w:sz w:val="22"/>
          <w:szCs w:val="22"/>
        </w:rPr>
        <w:t xml:space="preserve">Despite sophisticated infrastructure (AgentHealth, circuit breakers, registry), the actual runtime flow is: User &gt; LegacyAgent &gt; Claude picks tool_use &gt; Supervisor intercepts &gt; routes to specialist &gt; result stringified back to Claude loop. Agents never make independent decisions. Claude owns the control flow. This is NOT a multi-agent system by industry standards.</w:t>
      </w:r>
    </w:p>
    <w:p>
      <w:pPr>
        <w:pStyle w:val="Heading3"/>
      </w:pPr>
      <w:r>
        <w:t xml:space="preserve">F3: Frontend Can Run Without Backend (Deceptive)</w:t>
      </w:r>
    </w:p>
    <w:p>
      <w:pPr>
        <w:spacing w:after="120"/>
      </w:pPr>
      <w:r>
        <w:rPr>
          <w:rFonts w:ascii="Arial" w:cs="Arial" w:eastAsia="Arial" w:hAnsi="Arial"/>
          <w:color w:val="1A1A2E"/>
          <w:sz w:val="22"/>
          <w:szCs w:val="22"/>
        </w:rPr>
        <w:t xml:space="preserve">The FinAI_Platform_v7.html file contains 344 embedded seed transactions and renders full dashboards offline. A demo audience cannot verify whether they are seeing live data or cached seed data. The 30+ BACKEND_OK conditional checks are graceful but create evaluation ambiguity.</w:t>
      </w:r>
    </w:p>
    <w:p>
      <w:pPr>
        <w:pStyle w:val="Heading3"/>
      </w:pPr>
      <w:r>
        <w:t xml:space="preserve">F4: Development Database is Empty</w:t>
      </w:r>
    </w:p>
    <w:p>
      <w:pPr>
        <w:spacing w:after="120"/>
      </w:pPr>
      <w:r>
        <w:rPr>
          <w:rFonts w:ascii="Arial" w:cs="Arial" w:eastAsia="Arial" w:hAnsi="Arial"/>
          <w:color w:val="1A1A2E"/>
          <w:sz w:val="22"/>
          <w:szCs w:val="22"/>
        </w:rPr>
        <w:t xml:space="preserve">The SQLite database (finai.db, 106MB) has all tables defined but zero rows in transactions, datasets, or any financial tables. The system has never been run with real data in this environment. Production PostgreSQL (Neon) is configured but untestable from this audit.</w:t>
      </w:r>
    </w:p>
    <w:p>
      <w:pPr>
        <w:pStyle w:val="Heading3"/>
      </w:pPr>
      <w:r>
        <w:t xml:space="preserve">F5: No Unit Tests for Financial Calculations</w:t>
      </w:r>
    </w:p>
    <w:p>
      <w:pPr>
        <w:spacing w:after="120"/>
      </w:pPr>
      <w:r>
        <w:rPr>
          <w:rFonts w:ascii="Arial" w:cs="Arial" w:eastAsia="Arial" w:hAnsi="Arial"/>
          <w:color w:val="1A1A2E"/>
          <w:sz w:val="22"/>
          <w:szCs w:val="22"/>
        </w:rPr>
        <w:t xml:space="preserve">Despite the coa_engine.py being the most critical component, there are no dedicated unit tests verifying P&amp;L waterfall correctness, balance sheet equation, or cash flow derivation with known inputs and expected outputs. The test files (test_bs_structural.py, test_comprehensive.py) exist but test integration, not mathematical correctness in isolation.</w:t>
      </w:r>
    </w:p>
    <w:p>
      <w:pPr>
        <w:pStyle w:val="Heading3"/>
      </w:pPr>
      <w:r>
        <w:t xml:space="preserve">F6: Hardcoded Exchange Rates as Fallback</w:t>
      </w:r>
    </w:p>
    <w:p>
      <w:pPr>
        <w:spacing w:after="120"/>
      </w:pPr>
      <w:r>
        <w:rPr>
          <w:rFonts w:ascii="Arial" w:cs="Arial" w:eastAsia="Arial" w:hAnsi="Arial"/>
          <w:color w:val="1A1A2E"/>
          <w:sz w:val="22"/>
          <w:szCs w:val="22"/>
        </w:rPr>
        <w:t xml:space="preserve">Multi-currency consolidation uses hardcoded fallback rates if the external API is unavailable. For a financial system claiming production readiness, this is dangerous — stale exchange rates produce materially incorrect consolidated statements.</w:t>
      </w:r>
    </w:p>
    <w:p>
      <w:pPr>
        <w:pStyle w:val="Heading3"/>
      </w:pPr>
      <w:r>
        <w:t xml:space="preserve">F7: Memory System is Shallow</w:t>
      </w:r>
    </w:p>
    <w:p>
      <w:pPr>
        <w:spacing w:after="120"/>
      </w:pPr>
      <w:r>
        <w:rPr>
          <w:rFonts w:ascii="Arial" w:cs="Arial" w:eastAsia="Arial" w:hAnsi="Arial"/>
          <w:color w:val="1A1A2E"/>
          <w:sz w:val="22"/>
          <w:szCs w:val="22"/>
        </w:rPr>
        <w:t xml:space="preserve">CompanyMemory stores last 12 periods with delta computation. schema_memory.json recognizes file patterns. But there is no semantic memory, no learning from corrections, no cross-company knowledge transfer. The "memory" is structured caching, not intelligence.</w:t>
      </w:r>
    </w:p>
    <w:p>
      <w:pPr>
        <w:pStyle w:val="Heading3"/>
      </w:pPr>
      <w:r>
        <w:t xml:space="preserve">F8: No Streaming for Large Datasets</w:t>
      </w:r>
    </w:p>
    <w:p>
      <w:pPr>
        <w:spacing w:after="120"/>
      </w:pPr>
      <w:r>
        <w:rPr>
          <w:rFonts w:ascii="Arial" w:cs="Arial" w:eastAsia="Arial" w:hAnsi="Arial"/>
          <w:color w:val="1A1A2E"/>
          <w:sz w:val="22"/>
          <w:szCs w:val="22"/>
        </w:rPr>
        <w:t xml:space="preserve">All financial data is loaded into memory for computation. The analytics router fetches all transactions for a dataset, loads them into pandas DataFrames, and processes them. This will not scale beyond ~100K transactions without significant refactoring.</w:t>
      </w:r>
    </w:p>
    <w:p>
      <w:pPr>
        <w:pStyle w:val="Heading3"/>
      </w:pPr>
      <w:r>
        <w:t xml:space="preserve">F9: Supervisor Fallback Masks Errors</w:t>
      </w:r>
    </w:p>
    <w:p>
      <w:pPr>
        <w:spacing w:after="120"/>
      </w:pPr>
      <w:r>
        <w:rPr>
          <w:rFonts w:ascii="Arial" w:cs="Arial" w:eastAsia="Arial" w:hAnsi="Arial"/>
          <w:color w:val="1A1A2E"/>
          <w:sz w:val="22"/>
          <w:szCs w:val="22"/>
        </w:rPr>
        <w:t xml:space="preserve">When a specialized agent fails, the supervisor silently falls back to LegacyAgent (supervisor.py:305-326). This means agent failures are invisible to users — they get a response, but from a different (potentially less accurate) code path. No indication is given.</w:t>
      </w:r>
    </w:p>
    <w:p>
      <w:pPr>
        <w:pStyle w:val="Heading3"/>
      </w:pPr>
      <w:r>
        <w:t xml:space="preserve">F10: No Reproducibility Guarantee on LLM Outputs</w:t>
      </w:r>
    </w:p>
    <w:p>
      <w:pPr>
        <w:spacing w:after="120"/>
      </w:pPr>
      <w:r>
        <w:rPr>
          <w:rFonts w:ascii="Arial" w:cs="Arial" w:eastAsia="Arial" w:hAnsi="Arial"/>
          <w:color w:val="1A1A2E"/>
          <w:sz w:val="22"/>
          <w:szCs w:val="22"/>
        </w:rPr>
        <w:t xml:space="preserve">Same financial question asked twice will produce different narrative explanations, different emphasis, potentially different numerical framing. The calculations are deterministic, but the presentation layer (LLM) is non-deterministic. For audit purposes, this means reports cannot be reproduced exactly.</w:t>
      </w:r>
    </w:p>
    <w:p>
      <w:r>
        <w:br w:type="page"/>
      </w:r>
    </w:p>
    <w:p>
      <w:pPr>
        <w:pStyle w:val="Heading1"/>
      </w:pPr>
      <w:r>
        <w:t xml:space="preserve">5. HIDDEN RISKS</w:t>
      </w:r>
    </w:p>
    <w:p>
      <w:pPr>
        <w:pBdr>
          <w:bottom w:val="single" w:color="1565C0" w:sz="6" w:space="1"/>
        </w:pBdr>
        <w:spacing w:after="200" w:before="200"/>
      </w:pPr>
    </w:p>
    <w:p>
      <w:pPr>
        <w:pStyle w:val="Heading3"/>
      </w:pPr>
      <w:r>
        <w:t xml:space="preserve">R1: Seed Data Masquerades as Production</w:t>
      </w:r>
    </w:p>
    <w:p>
      <w:pPr>
        <w:spacing w:after="120"/>
      </w:pPr>
      <w:r>
        <w:rPr>
          <w:rFonts w:ascii="Arial" w:cs="Arial" w:eastAsia="Arial" w:hAnsi="Arial"/>
          <w:color w:val="1A1A2E"/>
          <w:sz w:val="22"/>
          <w:szCs w:val="22"/>
        </w:rPr>
        <w:t xml:space="preserve">The 335 seed transactions from seed_data.py and 344 embedded in the HTML frontend are realistic SOCAR Energy Georgia entries. Without backend connection verification, evaluators (or even users) may believe they are viewing live financial data when they are viewing a static demo.</w:t>
      </w:r>
    </w:p>
    <w:p>
      <w:pPr>
        <w:pStyle w:val="Heading3"/>
      </w:pPr>
      <w:r>
        <w:t xml:space="preserve">R2: Georgian Language Fragility</w:t>
      </w:r>
    </w:p>
    <w:p>
      <w:pPr>
        <w:spacing w:after="120"/>
      </w:pPr>
      <w:r>
        <w:rPr>
          <w:rFonts w:ascii="Arial" w:cs="Arial" w:eastAsia="Arial" w:hAnsi="Arial"/>
          <w:color w:val="1A1A2E"/>
          <w:sz w:val="22"/>
          <w:szCs w:val="22"/>
        </w:rPr>
        <w:t xml:space="preserve">The system handles Georgian text (UnicodeJSONResponse, utf-8 encoding fixes) but LLM responses in Georgian depend entirely on Claude's Georgian language capability. If the model degrades in Georgian, financial narratives become unreliable while calculations remain correct.</w:t>
      </w:r>
    </w:p>
    <w:p>
      <w:pPr>
        <w:pStyle w:val="Heading3"/>
      </w:pPr>
      <w:r>
        <w:t xml:space="preserve">R3: Balance Sheet Equation Tolerance</w:t>
      </w:r>
    </w:p>
    <w:p>
      <w:pPr>
        <w:spacing w:after="120"/>
      </w:pPr>
      <w:r>
        <w:rPr>
          <w:rFonts w:ascii="Arial" w:cs="Arial" w:eastAsia="Arial" w:hAnsi="Arial"/>
          <w:color w:val="1A1A2E"/>
          <w:sz w:val="22"/>
          <w:szCs w:val="22"/>
        </w:rPr>
        <w:t xml:space="preserve">The bs_equation_holds() function uses a 1,000 GEL tolerance for the balance sheet equation (Assets = Liabilities + Equity). For a company like SOCAR Energy Georgia, this tolerance could hide meaningful errors in a production environment.</w:t>
      </w:r>
    </w:p>
    <w:p>
      <w:pPr>
        <w:pStyle w:val="Heading3"/>
      </w:pPr>
      <w:r>
        <w:t xml:space="preserve">R4: Ontology System is Over-Engineered</w:t>
      </w:r>
    </w:p>
    <w:p>
      <w:pPr>
        <w:spacing w:after="120"/>
      </w:pPr>
      <w:r>
        <w:rPr>
          <w:rFonts w:ascii="Arial" w:cs="Arial" w:eastAsia="Arial" w:hAnsi="Arial"/>
          <w:color w:val="1A1A2E"/>
          <w:sz w:val="22"/>
          <w:szCs w:val="22"/>
        </w:rPr>
        <w:t xml:space="preserve">The FinAI OS ontology layer (ontology_engine.py, ontology_store.py, warehouse.py) attempts to build a knowledge graph and data warehouse. This adds significant startup complexity (5 initialization steps in main.py lifespan) but provides marginal benefit over the already-functional COA engine and accounting hierarchy.</w:t>
      </w:r>
    </w:p>
    <w:p>
      <w:pPr>
        <w:pStyle w:val="Heading3"/>
      </w:pPr>
      <w:r>
        <w:t xml:space="preserve">R5: Circuit Breaker Without Recovery Testing</w:t>
      </w:r>
    </w:p>
    <w:p>
      <w:pPr>
        <w:spacing w:after="120"/>
      </w:pPr>
      <w:r>
        <w:rPr>
          <w:rFonts w:ascii="Arial" w:cs="Arial" w:eastAsia="Arial" w:hAnsi="Arial"/>
          <w:color w:val="1A1A2E"/>
          <w:sz w:val="22"/>
          <w:szCs w:val="22"/>
        </w:rPr>
        <w:t xml:space="preserve">AgentHealth implements circuit breaker patterns (disable after N failures, recover after timeout). However, there is no evidence of chaos testing or recovery validation. In production, a tripped circuit breaker with incorrect recovery logic could permanently disable an agent without alerting anyone.</w:t>
      </w:r>
    </w:p>
    <w:p>
      <w:r>
        <w:br w:type="page"/>
      </w:r>
    </w:p>
    <w:p>
      <w:pPr>
        <w:pStyle w:val="Heading1"/>
      </w:pPr>
      <w:r>
        <w:t xml:space="preserve">6. IMPROVEMENT ROADMAP</w:t>
      </w:r>
    </w:p>
    <w:p>
      <w:pPr>
        <w:pBdr>
          <w:bottom w:val="single" w:color="1565C0" w:sz="6" w:space="1"/>
        </w:pBdr>
        <w:spacing w:after="200" w:before="200"/>
      </w:pPr>
    </w:p>
    <w:p>
      <w:pPr>
        <w:pStyle w:val="Heading2"/>
      </w:pPr>
      <w:r>
        <w:t xml:space="preserve">Immediate (1-2 Weeks)</w:t>
      </w:r>
    </w:p>
    <w:p>
      <w:pPr>
        <w:spacing w:after="120"/>
      </w:pPr>
      <w:r>
        <w:rPr>
          <w:rFonts w:ascii="Arial" w:cs="Arial" w:eastAsia="Arial" w:hAnsi="Arial"/>
          <w:b/>
          <w:bCs/>
          <w:color w:val="1A1A2E"/>
          <w:sz w:val="22"/>
          <w:szCs w:val="22"/>
        </w:rPr>
        <w:t xml:space="preserve">Add unit tests for P&amp;L waterfall with known inputs and expected outputs. Add balance sheet equation tests with edge cases (zero equity, negative retained earnings). Add cash flow reconciliation tests. This is the single highest-ROI action — it proves mathematical correctness to any auditor.</w:t>
      </w:r>
    </w:p>
    <w:p>
      <w:pPr>
        <w:spacing w:after="120"/>
      </w:pPr>
      <w:r>
        <w:rPr>
          <w:rFonts w:ascii="Arial" w:cs="Arial" w:eastAsia="Arial" w:hAnsi="Arial"/>
          <w:color w:val="1A1A2E"/>
          <w:sz w:val="22"/>
          <w:szCs w:val="22"/>
        </w:rPr>
        <w:t xml:space="preserve">Remove or clearly label the embedded SEED_DATA in the frontend HTML. Add a visible banner when BACKEND_OK is false that says 'DEMO MODE — Showing sample data.' Prevent evaluation confusion.</w:t>
      </w:r>
    </w:p>
    <w:p>
      <w:pPr>
        <w:spacing w:after="120"/>
      </w:pPr>
      <w:r>
        <w:rPr>
          <w:rFonts w:ascii="Arial" w:cs="Arial" w:eastAsia="Arial" w:hAnsi="Arial"/>
          <w:color w:val="1A1A2E"/>
          <w:sz w:val="22"/>
          <w:szCs w:val="22"/>
        </w:rPr>
        <w:t xml:space="preserve">Add graceful LLM failure handling in the chat WebSocket. When ANTHROPIC_API_KEY is missing or Claude API is down, return a structured error message pointing users to the raw financial API endpoints instead of crashing.</w:t>
      </w:r>
    </w:p>
    <w:p>
      <w:pPr>
        <w:pStyle w:val="Heading2"/>
      </w:pPr>
      <w:r>
        <w:t xml:space="preserve">Mid-Term (1-2 Months)</w:t>
      </w:r>
    </w:p>
    <w:p>
      <w:pPr>
        <w:spacing w:after="120"/>
      </w:pPr>
      <w:r>
        <w:rPr>
          <w:rFonts w:ascii="Arial" w:cs="Arial" w:eastAsia="Arial" w:hAnsi="Arial"/>
          <w:color w:val="1A1A2E"/>
          <w:sz w:val="22"/>
          <w:szCs w:val="22"/>
        </w:rPr>
        <w:t xml:space="preserve">Refactor the agent system to give agents real autonomy. Allow agents to spawn sub-tasks, communicate via a message bus, and maintain persistent state. Currently the infrastructure exists but is unused. Either use it or remove it to reduce code complexity.</w:t>
      </w:r>
    </w:p>
    <w:p>
      <w:pPr>
        <w:spacing w:after="120"/>
      </w:pPr>
      <w:r>
        <w:rPr>
          <w:rFonts w:ascii="Arial" w:cs="Arial" w:eastAsia="Arial" w:hAnsi="Arial"/>
          <w:color w:val="1A1A2E"/>
          <w:sz w:val="22"/>
          <w:szCs w:val="22"/>
        </w:rPr>
        <w:t xml:space="preserve">Implement real-time exchange rate fetching with configurable staleness thresholds. Flag any consolidated statement that uses rates older than 24 hours. Remove hardcoded fallback rates.</w:t>
      </w:r>
    </w:p>
    <w:p>
      <w:pPr>
        <w:spacing w:after="120"/>
      </w:pPr>
      <w:r>
        <w:rPr>
          <w:rFonts w:ascii="Arial" w:cs="Arial" w:eastAsia="Arial" w:hAnsi="Arial"/>
          <w:color w:val="1A1A2E"/>
          <w:sz w:val="22"/>
          <w:szCs w:val="22"/>
        </w:rPr>
        <w:t xml:space="preserve">Split the monolithic FinAI_Platform_v7.html (3,990 lines) into a proper React/Vue frontend with build pipeline. The current approach is unmaintainable and prevents collaborative frontend development.</w:t>
      </w:r>
    </w:p>
    <w:p>
      <w:pPr>
        <w:spacing w:after="120"/>
      </w:pPr>
      <w:r>
        <w:rPr>
          <w:rFonts w:ascii="Arial" w:cs="Arial" w:eastAsia="Arial" w:hAnsi="Arial"/>
          <w:color w:val="1A1A2E"/>
          <w:sz w:val="22"/>
          <w:szCs w:val="22"/>
        </w:rPr>
        <w:t xml:space="preserve">Add streaming data processing for analytics. Replace full-dataset pandas loads with chunked processing or database-side aggregation for datasets exceeding 50K transactions.</w:t>
      </w:r>
    </w:p>
    <w:p>
      <w:pPr>
        <w:pStyle w:val="Heading2"/>
      </w:pPr>
      <w:r>
        <w:t xml:space="preserve">Long-Term (Architecture Level)</w:t>
      </w:r>
    </w:p>
    <w:p>
      <w:pPr>
        <w:spacing w:after="120"/>
      </w:pPr>
      <w:r>
        <w:rPr>
          <w:rFonts w:ascii="Arial" w:cs="Arial" w:eastAsia="Arial" w:hAnsi="Arial"/>
          <w:color w:val="1A1A2E"/>
          <w:sz w:val="22"/>
          <w:szCs w:val="22"/>
        </w:rPr>
        <w:t xml:space="preserve">Separate the deterministic financial engine from the LLM layer completely. The financial engine should be a standalone library/service with its own API, independently testable and deployable. The LLM layer should be a thin orchestration skin that calls the financial engine — not the other way around.</w:t>
      </w:r>
    </w:p>
    <w:p>
      <w:pPr>
        <w:spacing w:after="120"/>
      </w:pPr>
      <w:r>
        <w:rPr>
          <w:rFonts w:ascii="Arial" w:cs="Arial" w:eastAsia="Arial" w:hAnsi="Arial"/>
          <w:color w:val="1A1A2E"/>
          <w:sz w:val="22"/>
          <w:szCs w:val="22"/>
        </w:rPr>
        <w:t xml:space="preserve">Build a proper event-sourced audit trail. Every calculation should be logged with inputs, formula applied, intermediate results, and output. This enables full financial audit compliance (SOX, IFRS) and makes the system defensible to external auditors.</w:t>
      </w:r>
    </w:p>
    <w:p>
      <w:pPr>
        <w:spacing w:after="120"/>
      </w:pPr>
      <w:r>
        <w:rPr>
          <w:rFonts w:ascii="Arial" w:cs="Arial" w:eastAsia="Arial" w:hAnsi="Arial"/>
          <w:color w:val="1A1A2E"/>
          <w:sz w:val="22"/>
          <w:szCs w:val="22"/>
        </w:rPr>
        <w:t xml:space="preserve">Implement multi-tenant architecture for serving multiple companies. The current single-company design (SOCAR Energy Georgia) limits market potential. The ontology and COA systems already support multiple entities — extend this to true multi-tenancy.</w:t>
      </w:r>
    </w:p>
    <w:p>
      <w:r>
        <w:br w:type="page"/>
      </w:r>
    </w:p>
    <w:p>
      <w:pPr>
        <w:pStyle w:val="Heading1"/>
      </w:pPr>
      <w:r>
        <w:t xml:space="preserve">7. INTELLIGENCE VERDICT</w:t>
      </w:r>
    </w:p>
    <w:p>
      <w:pPr>
        <w:pBdr>
          <w:bottom w:val="single" w:color="1565C0" w:sz="6" w:space="1"/>
        </w:pBdr>
        <w:spacing w:after="200" w:before="200"/>
      </w:pPr>
    </w:p>
    <w:p>
      <w:pPr>
        <w:spacing w:after="120"/>
      </w:pPr>
      <w:r>
        <w:rPr>
          <w:rFonts w:ascii="Arial" w:cs="Arial" w:eastAsia="Arial" w:hAnsi="Arial"/>
          <w:b/>
          <w:bCs/>
          <w:color w:val="1A1A2E"/>
          <w:sz w:val="24"/>
          <w:szCs w:val="24"/>
        </w:rPr>
        <w:t xml:space="preserve">Does the system THINK or SIMULATE intelligence? </w:t>
      </w:r>
    </w:p>
    <w:p>
      <w:pPr>
        <w:spacing w:after="120"/>
      </w:pPr>
      <w:r>
        <w:rPr>
          <w:rFonts w:ascii="Arial" w:cs="Arial" w:eastAsia="Arial" w:hAnsi="Arial"/>
          <w:b/>
          <w:bCs/>
          <w:color w:val="1A1A2E"/>
          <w:sz w:val="22"/>
          <w:szCs w:val="22"/>
        </w:rPr>
        <w:t xml:space="preserve">Answer: </w:t>
      </w:r>
      <w:r>
        <w:rPr>
          <w:rFonts w:ascii="Arial" w:cs="Arial" w:eastAsia="Arial" w:hAnsi="Arial"/>
          <w:color w:val="1A1A2E"/>
          <w:sz w:val="22"/>
          <w:szCs w:val="22"/>
        </w:rPr>
        <w:t xml:space="preserve">BOTH, in clearly separated layers.</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Layer 1 — Financial Engine: THINKS. </w:t>
      </w:r>
      <w:r>
        <w:rPr>
          <w:rFonts w:ascii="Arial" w:cs="Arial" w:eastAsia="Arial" w:hAnsi="Arial"/>
          <w:color w:val="1A1A2E"/>
          <w:sz w:val="22"/>
          <w:szCs w:val="22"/>
        </w:rPr>
        <w:t xml:space="preserve">The COA engine, anomaly detector, forecasting engine, scenario engine, and consolidation engine all perform real, deterministic computation. Given the same inputs, they produce identical outputs every time. They apply real accounting rules (IFRS, Georgian standards) and real statistical methods (Z-score, IQR, Benford's Law, linear regression). This is genuine financial intelligence — not in the AI sense, but in the domain-expertise-encoded-in-software sense.</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Layer 2 — LLM Agent: SIMULATES. </w:t>
      </w:r>
      <w:r>
        <w:rPr>
          <w:rFonts w:ascii="Arial" w:cs="Arial" w:eastAsia="Arial" w:hAnsi="Arial"/>
          <w:color w:val="1A1A2E"/>
          <w:sz w:val="22"/>
          <w:szCs w:val="22"/>
        </w:rPr>
        <w:t xml:space="preserve">The conversational interface uses Claude to interpret user intent, select appropriate tools, and narrate results. Claude does not perform financial calculations — it delegates to the deterministic engine. However, the narrative framing, emphasis, and recommendations are LLM-generated and non-reproducible. The multi-agent architecture creates the appearance of specialized reasoning (CalcAgent, InsightAgent, DecisionAgent) but the actual control flow is sequential prompt chaining through Claude's tool_use loop.</w:t>
      </w:r>
    </w:p>
    <w:p>
      <w:pPr>
        <w:spacing w:after="120"/>
      </w:pPr>
      <w:r>
        <w:rPr>
          <w:rFonts w:ascii="Arial" w:cs="Arial" w:eastAsia="Arial" w:hAnsi="Arial"/>
          <w:color w:val="1A1A2E"/>
          <w:sz w:val="22"/>
          <w:szCs w:val="22"/>
        </w:rPr>
        <w:t xml:space="preserve"/>
      </w:r>
    </w:p>
    <w:p>
      <w:pPr>
        <w:spacing w:after="120"/>
      </w:pPr>
      <w:r>
        <w:rPr>
          <w:rFonts w:ascii="Arial" w:cs="Arial" w:eastAsia="Arial" w:hAnsi="Arial"/>
          <w:b/>
          <w:bCs/>
          <w:color w:val="1A1A2E"/>
          <w:sz w:val="22"/>
          <w:szCs w:val="22"/>
        </w:rPr>
        <w:t xml:space="preserve">The critical insight: </w:t>
      </w:r>
      <w:r>
        <w:rPr>
          <w:rFonts w:ascii="Arial" w:cs="Arial" w:eastAsia="Arial" w:hAnsi="Arial"/>
          <w:color w:val="1A1A2E"/>
          <w:sz w:val="22"/>
          <w:szCs w:val="22"/>
        </w:rPr>
        <w:t xml:space="preserve">the system's intelligence is real where it matters most (financial calculations) and simulated where it matters least (conversational presentation). This is actually the correct architectural choice for a financial system. You want deterministic math and flexible communication.</w:t>
      </w:r>
    </w:p>
    <w:p>
      <w:r>
        <w:br w:type="page"/>
      </w:r>
    </w:p>
    <w:p>
      <w:pPr>
        <w:pStyle w:val="Heading1"/>
      </w:pPr>
      <w:r>
        <w:t xml:space="preserve">8. INVESTOR VERDICT</w:t>
      </w:r>
    </w:p>
    <w:p>
      <w:pPr>
        <w:pBdr>
          <w:bottom w:val="single" w:color="1565C0" w:sz="6" w:space="1"/>
        </w:pBdr>
        <w:spacing w:after="200" w:before="200"/>
      </w:pPr>
    </w:p>
    <w:p>
      <w:pPr>
        <w:spacing w:after="120"/>
      </w:pPr>
      <w:r>
        <w:rPr>
          <w:rFonts w:ascii="Arial" w:cs="Arial" w:eastAsia="Arial" w:hAnsi="Arial"/>
          <w:b/>
          <w:bCs/>
          <w:color w:val="1A1A2E"/>
          <w:sz w:val="28"/>
          <w:szCs w:val="28"/>
        </w:rPr>
        <w:t xml:space="preserve">Would I invest as a Tier-1 VC? </w:t>
      </w:r>
    </w:p>
    <w:p>
      <w:pPr>
        <w:spacing w:after="120"/>
      </w:pPr>
      <w:r>
        <w:rPr>
          <w:rFonts w:ascii="Arial" w:cs="Arial" w:eastAsia="Arial" w:hAnsi="Arial"/>
          <w:b/>
          <w:bCs/>
          <w:color w:val="E65100"/>
          <w:sz w:val="28"/>
          <w:szCs w:val="28"/>
        </w:rPr>
        <w:t xml:space="preserve">CONDITIONAL NO.</w:t>
      </w:r>
    </w:p>
    <w:p>
      <w:pPr>
        <w:spacing w:after="120"/>
      </w:pPr>
      <w:r>
        <w:rPr>
          <w:rFonts w:ascii="Arial" w:cs="Arial" w:eastAsia="Arial" w:hAnsi="Arial"/>
          <w:color w:val="1A1A2E"/>
          <w:sz w:val="22"/>
          <w:szCs w:val="22"/>
        </w:rPr>
        <w:t xml:space="preserve"/>
      </w:r>
    </w:p>
    <w:p>
      <w:pPr>
        <w:pStyle w:val="Heading3"/>
      </w:pPr>
      <w:r>
        <w:t xml:space="preserve">Why Not Yet:</w:t>
      </w:r>
    </w:p>
    <w:p>
      <w:pPr>
        <w:spacing w:after="120"/>
      </w:pPr>
      <w:r>
        <w:rPr>
          <w:rFonts w:ascii="Arial" w:cs="Arial" w:eastAsia="Arial" w:hAnsi="Arial"/>
          <w:color w:val="1A1A2E"/>
          <w:sz w:val="22"/>
          <w:szCs w:val="22"/>
        </w:rPr>
        <w:t xml:space="preserve">The system demonstrates genuine technical depth in financial computation. The Georgian COA mapping, IFRS compliance, and multi-method analytics are real and production-grade. However, three factors prevent investment at this stage:</w:t>
      </w:r>
    </w:p>
    <w:p>
      <w:pPr>
        <w:spacing w:after="120"/>
      </w:pPr>
      <w:r>
        <w:rPr>
          <w:rFonts w:ascii="Arial" w:cs="Arial" w:eastAsia="Arial" w:hAnsi="Arial"/>
          <w:color w:val="1A1A2E"/>
          <w:sz w:val="22"/>
          <w:szCs w:val="22"/>
        </w:rPr>
        <w:t xml:space="preserve">1. Single-customer design. The entire system is built around SOCAR Energy Georgia. Account codes, seed data, UI branding, and domain knowledge are all hardcoded for one client. Expanding to other companies or industries requires significant refactoring. A Tier-1 VC needs a platform, not a bespoke solution.</w:t>
      </w:r>
    </w:p>
    <w:p>
      <w:pPr>
        <w:spacing w:after="120"/>
      </w:pPr>
      <w:r>
        <w:rPr>
          <w:rFonts w:ascii="Arial" w:cs="Arial" w:eastAsia="Arial" w:hAnsi="Arial"/>
          <w:color w:val="1A1A2E"/>
          <w:sz w:val="22"/>
          <w:szCs w:val="22"/>
        </w:rPr>
        <w:t xml:space="preserve">2. No evidence of production usage. The development database is empty. There is no evidence of real users, real data ingestion at scale, or real-world error handling. The system could work in production, but it has not been proven in production.</w:t>
      </w:r>
    </w:p>
    <w:p>
      <w:pPr>
        <w:spacing w:after="120"/>
      </w:pPr>
      <w:r>
        <w:rPr>
          <w:rFonts w:ascii="Arial" w:cs="Arial" w:eastAsia="Arial" w:hAnsi="Arial"/>
          <w:color w:val="1A1A2E"/>
          <w:sz w:val="22"/>
          <w:szCs w:val="22"/>
        </w:rPr>
        <w:t xml:space="preserve">3. The agent system oversells the architecture. Claiming "multi-agent" when the implementation is sequential prompt chaining erodes trust. If the team overstates technical capabilities in the agent layer, what else might be overstated? Honesty about architecture maturity is critical for investor confidence.</w:t>
      </w:r>
    </w:p>
    <w:p>
      <w:pPr>
        <w:spacing w:after="120"/>
      </w:pPr>
      <w:r>
        <w:rPr>
          <w:rFonts w:ascii="Arial" w:cs="Arial" w:eastAsia="Arial" w:hAnsi="Arial"/>
          <w:color w:val="1A1A2E"/>
          <w:sz w:val="22"/>
          <w:szCs w:val="22"/>
        </w:rPr>
        <w:t xml:space="preserve"/>
      </w:r>
    </w:p>
    <w:p>
      <w:pPr>
        <w:pStyle w:val="Heading3"/>
      </w:pPr>
      <w:r>
        <w:t xml:space="preserve">What Must Change:</w:t>
      </w:r>
    </w:p>
    <w:p>
      <w:pPr>
        <w:spacing w:after="120"/>
      </w:pPr>
      <w:r>
        <w:rPr>
          <w:rFonts w:ascii="Arial" w:cs="Arial" w:eastAsia="Arial" w:hAnsi="Arial"/>
          <w:color w:val="1A1A2E"/>
          <w:sz w:val="22"/>
          <w:szCs w:val="22"/>
        </w:rPr>
        <w:t xml:space="preserve">Prove production readiness: Deploy with one real customer (SOCAR), ingest 12 months of real data, demonstrate correct P&amp;L generation that matches their audited financials. One validated deployment is worth more than 100 demo features.</w:t>
      </w:r>
    </w:p>
    <w:p>
      <w:pPr>
        <w:spacing w:after="120"/>
      </w:pPr>
      <w:r>
        <w:rPr>
          <w:rFonts w:ascii="Arial" w:cs="Arial" w:eastAsia="Arial" w:hAnsi="Arial"/>
          <w:color w:val="1A1A2E"/>
          <w:sz w:val="22"/>
          <w:szCs w:val="22"/>
        </w:rPr>
        <w:t xml:space="preserve">Prove scalability: Process a dataset with 500K+ transactions. Show response times under 3 seconds for dashboard queries. Demonstrate concurrent user handling.</w:t>
      </w:r>
    </w:p>
    <w:p>
      <w:pPr>
        <w:spacing w:after="120"/>
      </w:pPr>
      <w:r>
        <w:rPr>
          <w:rFonts w:ascii="Arial" w:cs="Arial" w:eastAsia="Arial" w:hAnsi="Arial"/>
          <w:color w:val="1A1A2E"/>
          <w:sz w:val="22"/>
          <w:szCs w:val="22"/>
        </w:rPr>
        <w:t xml:space="preserve">Prove generalizability: Onboard a second customer in a different industry. Show that the COA engine and financial intelligence transfer without rewriting core logic.</w:t>
      </w:r>
    </w:p>
    <w:p>
      <w:pPr>
        <w:spacing w:after="120"/>
      </w:pPr>
      <w:r>
        <w:rPr>
          <w:rFonts w:ascii="Arial" w:cs="Arial" w:eastAsia="Arial" w:hAnsi="Arial"/>
          <w:color w:val="1A1A2E"/>
          <w:sz w:val="22"/>
          <w:szCs w:val="22"/>
        </w:rPr>
        <w:t xml:space="preserve">Be honest about agent maturity: Either invest in making the multi-agent system real (autonomous agents with inter-agent communication) or simplify the architecture to what it actually is (LLM-orchestrated tool routing). Both are valid — but misrepresentation is not.</w:t>
      </w:r>
    </w:p>
    <w:p>
      <w:r>
        <w:br w:type="page"/>
      </w:r>
    </w:p>
    <w:p>
      <w:pPr>
        <w:pStyle w:val="Heading1"/>
      </w:pPr>
      <w:r>
        <w:t xml:space="preserve">9. BENCHMARK COMPARISON</w:t>
      </w:r>
    </w:p>
    <w:p>
      <w:pPr>
        <w:pBdr>
          <w:bottom w:val="single" w:color="1565C0"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Dimension</w:t>
            </w:r>
          </w:p>
        </w:tc>
        <w:tc>
          <w:tcPr>
            <w:tcW w:type="dxa" w:w="150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NYX FinAI</w:t>
            </w:r>
          </w:p>
        </w:tc>
        <w:tc>
          <w:tcPr>
            <w:tcW w:type="dxa" w:w="150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Palantir Foundry</w:t>
            </w:r>
          </w:p>
        </w:tc>
        <w:tc>
          <w:tcPr>
            <w:tcW w:type="dxa" w:w="150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Stripe Sigma</w:t>
            </w:r>
          </w:p>
        </w:tc>
        <w:tc>
          <w:tcPr>
            <w:tcW w:type="dxa" w:w="150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Bloomberg AI</w:t>
            </w:r>
          </w:p>
        </w:tc>
        <w:tc>
          <w:tcPr>
            <w:tcW w:type="dxa" w:w="156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pPr>
              <w:jc w:val="center"/>
            </w:pPr>
            <w:r>
              <w:rPr>
                <w:rFonts w:ascii="Arial" w:cs="Arial" w:eastAsia="Arial" w:hAnsi="Arial"/>
                <w:b/>
                <w:bCs/>
                <w:color w:val="FFFFFF"/>
                <w:sz w:val="17"/>
                <w:szCs w:val="17"/>
              </w:rPr>
              <w:t xml:space="preserve">Ramp AI</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b/>
                <w:bCs/>
                <w:sz w:val="18"/>
                <w:szCs w:val="18"/>
              </w:rPr>
              <w:t xml:space="preserve">Reliability</w:t>
            </w:r>
          </w:p>
        </w:tc>
        <w:tc>
          <w:tcPr>
            <w:tcW w:type="dxa" w:w="15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Medium</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b/>
                <w:bCs/>
                <w:sz w:val="18"/>
                <w:szCs w:val="18"/>
              </w:rPr>
              <w:t xml:space="preserve">Determinism</w:t>
            </w:r>
          </w:p>
        </w:tc>
        <w:tc>
          <w:tcPr>
            <w:tcW w:type="dxa" w:w="15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High</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b/>
                <w:bCs/>
                <w:sz w:val="18"/>
                <w:szCs w:val="18"/>
              </w:rPr>
              <w:t xml:space="preserve">Depth</w:t>
            </w:r>
          </w:p>
        </w:tc>
        <w:tc>
          <w:tcPr>
            <w:tcW w:type="dxa" w:w="15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Medium</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Medium</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6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b/>
                <w:bCs/>
                <w:sz w:val="18"/>
                <w:szCs w:val="18"/>
              </w:rPr>
              <w:t xml:space="preserve">Scalability</w:t>
            </w:r>
          </w:p>
        </w:tc>
        <w:tc>
          <w:tcPr>
            <w:tcW w:type="dxa" w:w="15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Low</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Very High</w:t>
            </w:r>
          </w:p>
        </w:tc>
        <w:tc>
          <w:tcPr>
            <w:tcW w:type="dxa" w:w="15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b/>
                <w:bCs/>
                <w:sz w:val="18"/>
                <w:szCs w:val="18"/>
              </w:rPr>
              <w:t xml:space="preserve">AI/LLM Layer</w:t>
            </w:r>
          </w:p>
        </w:tc>
        <w:tc>
          <w:tcPr>
            <w:tcW w:type="dxa" w:w="15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Medium</w:t>
            </w:r>
          </w:p>
        </w:tc>
        <w:tc>
          <w:tcPr>
            <w:tcW w:type="dxa" w:w="15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High</w:t>
            </w:r>
          </w:p>
        </w:tc>
        <w:tc>
          <w:tcPr>
            <w:tcW w:type="dxa" w:w="150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Low</w:t>
            </w:r>
          </w:p>
        </w:tc>
        <w:tc>
          <w:tcPr>
            <w:tcW w:type="dxa" w:w="15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b/>
                <w:bCs/>
                <w:sz w:val="18"/>
                <w:szCs w:val="18"/>
              </w:rPr>
              <w:t xml:space="preserve">Domain Focus</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Narrow</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Broad</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Payments</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Finance</w:t>
            </w:r>
          </w:p>
        </w:tc>
        <w:tc>
          <w:tcPr>
            <w:tcW w:type="dxa" w:w="15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Expenses</w:t>
            </w:r>
          </w:p>
        </w:tc>
      </w:tr>
    </w:tbl>
    <w:p>
      <w:pPr>
        <w:spacing w:after="120"/>
      </w:pPr>
      <w:r>
        <w:rPr>
          <w:rFonts w:ascii="Arial" w:cs="Arial" w:eastAsia="Arial" w:hAnsi="Arial"/>
          <w:color w:val="1A1A2E"/>
          <w:sz w:val="22"/>
          <w:szCs w:val="22"/>
        </w:rPr>
        <w:t xml:space="preserve"/>
      </w:r>
    </w:p>
    <w:p>
      <w:pPr>
        <w:spacing w:after="120"/>
      </w:pPr>
      <w:r>
        <w:rPr>
          <w:rFonts w:ascii="Arial" w:cs="Arial" w:eastAsia="Arial" w:hAnsi="Arial"/>
          <w:i/>
          <w:iCs/>
          <w:color w:val="1A1A2E"/>
          <w:sz w:val="22"/>
          <w:szCs w:val="22"/>
        </w:rPr>
        <w:t xml:space="preserve">NYX FinAI competes closest with Ramp AI in scope but lacks Ramp's production validation and scale. Against Palantir Foundry or Bloomberg Terminal, it is an order of magnitude less mature. Against Stripe Sigma, it has more financial intelligence depth but far less data reliability. The system's unique advantage is its deep Georgian/SOCAR domain specialization — no competitor offers this.</w:t>
      </w:r>
    </w:p>
    <w:p>
      <w:r>
        <w:br w:type="page"/>
      </w:r>
    </w:p>
    <w:p>
      <w:pPr>
        <w:pStyle w:val="Heading1"/>
      </w:pPr>
      <w:r>
        <w:t xml:space="preserve">10. FINAL VERDICT</w:t>
      </w:r>
    </w:p>
    <w:p>
      <w:pPr>
        <w:pBdr>
          <w:bottom w:val="single" w:color="1565C0" w:sz="6" w:space="1"/>
        </w:pBdr>
        <w:spacing w:after="200" w:before="200"/>
      </w:pPr>
    </w:p>
    <w:p>
      <w:pPr>
        <w:spacing w:after="400" w:before="400"/>
      </w:pPr>
    </w:p>
    <w:p>
      <w:pPr>
        <w:pBdr>
          <w:top w:val="single" w:color="C62828" w:sz="8" w:space="12"/>
          <w:bottom w:val="single" w:color="C62828" w:sz="8" w:space="12"/>
        </w:pBdr>
        <w:spacing w:after="400"/>
        <w:jc w:val="center"/>
      </w:pPr>
      <w:r>
        <w:rPr>
          <w:rFonts w:ascii="Arial" w:cs="Arial" w:eastAsia="Arial" w:hAnsi="Arial"/>
          <w:b/>
          <w:bCs/>
          <w:color w:val="1A1A2E"/>
          <w:sz w:val="26"/>
          <w:szCs w:val="26"/>
        </w:rPr>
        <w:t xml:space="preserve">NYX Core FinAI is a real, deterministic financial computation engine with genuine IFRS-compliant accounting logic, wrapped in an over-architected LLM orchestration layer that claims multi-agent intelligence but delivers sequential prompt chaining — a solid financial brain wearing an AI costume two sizes too large.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WHAT IS REAL</w:t>
            </w:r>
          </w:p>
          <w:p>
            <w:pPr>
              <w:spacing w:after="40"/>
            </w:pPr>
            <w:r>
              <w:rPr>
                <w:rFonts w:ascii="Arial" w:cs="Arial" w:eastAsia="Arial" w:hAnsi="Arial"/>
                <w:sz w:val="19"/>
                <w:szCs w:val="19"/>
              </w:rPr>
              <w:t xml:space="preserve">P&amp;L, Balance Sheet, Cash Flow computation</w:t>
            </w:r>
          </w:p>
          <w:p>
            <w:pPr>
              <w:spacing w:after="40"/>
            </w:pPr>
            <w:r>
              <w:rPr>
                <w:rFonts w:ascii="Arial" w:cs="Arial" w:eastAsia="Arial" w:hAnsi="Arial"/>
                <w:sz w:val="19"/>
                <w:szCs w:val="19"/>
              </w:rPr>
              <w:t xml:space="preserve">Georgian COA classification (40+ rules)</w:t>
            </w:r>
          </w:p>
          <w:p>
            <w:pPr>
              <w:spacing w:after="40"/>
            </w:pPr>
            <w:r>
              <w:rPr>
                <w:rFonts w:ascii="Arial" w:cs="Arial" w:eastAsia="Arial" w:hAnsi="Arial"/>
                <w:sz w:val="19"/>
                <w:szCs w:val="19"/>
              </w:rPr>
              <w:t xml:space="preserve">4-method anomaly detection</w:t>
            </w:r>
          </w:p>
          <w:p>
            <w:pPr>
              <w:spacing w:after="40"/>
            </w:pPr>
            <w:r>
              <w:rPr>
                <w:rFonts w:ascii="Arial" w:cs="Arial" w:eastAsia="Arial" w:hAnsi="Arial"/>
                <w:sz w:val="19"/>
                <w:szCs w:val="19"/>
              </w:rPr>
              <w:t xml:space="preserve">6-method forecasting engine</w:t>
            </w:r>
          </w:p>
          <w:p>
            <w:pPr>
              <w:spacing w:after="40"/>
            </w:pPr>
            <w:r>
              <w:rPr>
                <w:rFonts w:ascii="Arial" w:cs="Arial" w:eastAsia="Arial" w:hAnsi="Arial"/>
                <w:sz w:val="19"/>
                <w:szCs w:val="19"/>
              </w:rPr>
              <w:t xml:space="preserve">IFRS 10 multi-entity consolidation</w:t>
            </w:r>
          </w:p>
          <w:p>
            <w:pPr>
              <w:spacing w:after="40"/>
            </w:pPr>
            <w:r>
              <w:rPr>
                <w:rFonts w:ascii="Arial" w:cs="Arial" w:eastAsia="Arial" w:hAnsi="Arial"/>
                <w:sz w:val="19"/>
                <w:szCs w:val="19"/>
              </w:rPr>
              <w:t xml:space="preserve">Scenario modeling (deep-copy simulation)</w:t>
            </w:r>
          </w:p>
          <w:p>
            <w:pPr>
              <w:spacing w:after="40"/>
            </w:pPr>
            <w:r>
              <w:rPr>
                <w:rFonts w:ascii="Arial" w:cs="Arial" w:eastAsia="Arial" w:hAnsi="Arial"/>
                <w:sz w:val="19"/>
                <w:szCs w:val="19"/>
              </w:rPr>
              <w:t xml:space="preserve">Data lineage and audit trail</w:t>
            </w:r>
          </w:p>
          <w:p>
            <w:pPr>
              <w:spacing w:after="40"/>
            </w:pPr>
            <w:r>
              <w:rPr>
                <w:rFonts w:ascii="Arial" w:cs="Arial" w:eastAsia="Arial" w:hAnsi="Arial"/>
                <w:sz w:val="19"/>
                <w:szCs w:val="19"/>
              </w:rPr>
              <w:t xml:space="preserve">RAG with 3-tier fallback</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pPr>
              <w:spacing w:after="80"/>
            </w:pPr>
            <w:r>
              <w:rPr>
                <w:rFonts w:ascii="Arial" w:cs="Arial" w:eastAsia="Arial" w:hAnsi="Arial"/>
                <w:b/>
                <w:bCs/>
                <w:color w:val="C62828"/>
                <w:sz w:val="22"/>
                <w:szCs w:val="22"/>
              </w:rPr>
              <w:t xml:space="preserve">WHAT IS ILLUSION</w:t>
            </w:r>
          </w:p>
          <w:p>
            <w:pPr>
              <w:spacing w:after="40"/>
            </w:pPr>
            <w:r>
              <w:rPr>
                <w:rFonts w:ascii="Arial" w:cs="Arial" w:eastAsia="Arial" w:hAnsi="Arial"/>
                <w:sz w:val="19"/>
                <w:szCs w:val="19"/>
              </w:rPr>
              <w:t xml:space="preserve">Multi-agent autonomy (sequential chaining)</w:t>
            </w:r>
          </w:p>
          <w:p>
            <w:pPr>
              <w:spacing w:after="40"/>
            </w:pPr>
            <w:r>
              <w:rPr>
                <w:rFonts w:ascii="Arial" w:cs="Arial" w:eastAsia="Arial" w:hAnsi="Arial"/>
                <w:sz w:val="19"/>
                <w:szCs w:val="19"/>
              </w:rPr>
              <w:t xml:space="preserve">Agent-to-agent communication (data discarded)</w:t>
            </w:r>
          </w:p>
          <w:p>
            <w:pPr>
              <w:spacing w:after="40"/>
            </w:pPr>
            <w:r>
              <w:rPr>
                <w:rFonts w:ascii="Arial" w:cs="Arial" w:eastAsia="Arial" w:hAnsi="Arial"/>
                <w:sz w:val="19"/>
                <w:szCs w:val="19"/>
              </w:rPr>
              <w:t xml:space="preserve">Intelligent routing (LLM drives all decisions)</w:t>
            </w:r>
          </w:p>
          <w:p>
            <w:pPr>
              <w:spacing w:after="40"/>
            </w:pPr>
            <w:r>
              <w:rPr>
                <w:rFonts w:ascii="Arial" w:cs="Arial" w:eastAsia="Arial" w:hAnsi="Arial"/>
                <w:sz w:val="19"/>
                <w:szCs w:val="19"/>
              </w:rPr>
              <w:t xml:space="preserve">Frontend live data (offline seed renders identically)</w:t>
            </w:r>
          </w:p>
          <w:p>
            <w:pPr>
              <w:spacing w:after="40"/>
            </w:pPr>
            <w:r>
              <w:rPr>
                <w:rFonts w:ascii="Arial" w:cs="Arial" w:eastAsia="Arial" w:hAnsi="Arial"/>
                <w:sz w:val="19"/>
                <w:szCs w:val="19"/>
              </w:rPr>
              <w:t xml:space="preserve">Production readiness (empty DB, no real users)</w:t>
            </w:r>
          </w:p>
          <w:p>
            <w:pPr>
              <w:spacing w:after="40"/>
            </w:pPr>
            <w:r>
              <w:rPr>
                <w:rFonts w:ascii="Arial" w:cs="Arial" w:eastAsia="Arial" w:hAnsi="Arial"/>
                <w:sz w:val="19"/>
                <w:szCs w:val="19"/>
              </w:rPr>
              <w:t xml:space="preserve">"FinAI OS" (marketing layer over functional tools)</w:t>
            </w:r>
          </w:p>
          <w:p>
            <w:pPr>
              <w:spacing w:after="40"/>
            </w:pPr>
            <w:r>
              <w:rPr>
                <w:rFonts w:ascii="Arial" w:cs="Arial" w:eastAsia="Arial" w:hAnsi="Arial"/>
                <w:sz w:val="19"/>
                <w:szCs w:val="19"/>
              </w:rPr>
              <w:t xml:space="preserve">Reproducible AI reports (LLM output varies)</w:t>
            </w:r>
          </w:p>
          <w:p>
            <w:pPr>
              <w:spacing w:after="40"/>
            </w:pPr>
            <w:r>
              <w:rPr>
                <w:rFonts w:ascii="Arial" w:cs="Arial" w:eastAsia="Arial" w:hAnsi="Arial"/>
                <w:sz w:val="19"/>
                <w:szCs w:val="19"/>
              </w:rPr>
              <w:t xml:space="preserve">Scale readiness (all data loaded into memory)</w:t>
            </w:r>
          </w:p>
        </w:tc>
      </w:tr>
    </w:tbl>
    <w:p>
      <w:pPr>
        <w:spacing w:before="600"/>
      </w:pPr>
    </w:p>
    <w:p>
      <w:pPr>
        <w:spacing w:after="100"/>
        <w:jc w:val="center"/>
      </w:pPr>
      <w:r>
        <w:rPr>
          <w:rFonts w:ascii="Arial" w:cs="Arial" w:eastAsia="Arial" w:hAnsi="Arial"/>
          <w:b/>
          <w:bCs/>
          <w:color w:val="616161"/>
          <w:sz w:val="20"/>
          <w:szCs w:val="20"/>
        </w:rPr>
        <w:t xml:space="preserve">END OF AUDIT REPORT</w:t>
      </w:r>
    </w:p>
    <w:p>
      <w:pPr>
        <w:jc w:val="center"/>
      </w:pPr>
      <w:r>
        <w:rPr>
          <w:rFonts w:ascii="Arial" w:cs="Arial" w:eastAsia="Arial" w:hAnsi="Arial"/>
          <w:i/>
          <w:iCs/>
          <w:color w:val="616161"/>
          <w:sz w:val="18"/>
          <w:szCs w:val="18"/>
        </w:rPr>
        <w:t xml:space="preserve">Prepared: April 6, 2026 | Classification: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16161" w:sz="2" w:space="1"/>
      </w:pBdr>
      <w:jc w:val="center"/>
    </w:pPr>
    <w:r>
      <w:rPr>
        <w:rFonts w:ascii="Arial" w:cs="Arial" w:eastAsia="Arial" w:hAnsi="Arial"/>
        <w:color w:val="616161"/>
        <w:sz w:val="16"/>
        <w:szCs w:val="16"/>
      </w:rPr>
      <w:t xml:space="preserve">CONFIDENTIAL | Tier-1 VC Technical Audit | 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4" w:space="1"/>
      </w:pBdr>
      <w:jc w:val="right"/>
    </w:pPr>
    <w:r>
      <w:rPr>
        <w:rFonts w:ascii="Arial" w:cs="Arial" w:eastAsia="Arial" w:hAnsi="Arial"/>
        <w:b/>
        <w:bCs/>
        <w:color w:val="C62828"/>
        <w:sz w:val="16"/>
        <w:szCs w:val="16"/>
      </w:rPr>
      <w:t xml:space="preserve">NYX CORE FINAI </w:t>
    </w:r>
    <w:r>
      <w:rPr>
        <w:rFonts w:ascii="Arial" w:cs="Arial" w:eastAsia="Arial" w:hAnsi="Arial"/>
        <w:color w:val="616161"/>
        <w:sz w:val="16"/>
        <w:szCs w:val="16"/>
      </w:rPr>
      <w:t xml:space="preserve">FORENSIC SYSTEM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6282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2026-04-06T19:12:22.348Z</dcterms:created>
  <dcterms:modified xsi:type="dcterms:W3CDTF">2026-04-06T19:12:22.349Z</dcterms:modified>
</cp:coreProperties>
</file>

<file path=docProps/custom.xml><?xml version="1.0" encoding="utf-8"?>
<Properties xmlns="http://schemas.openxmlformats.org/officeDocument/2006/custom-properties" xmlns:vt="http://schemas.openxmlformats.org/officeDocument/2006/docPropsVTypes"/>
</file>