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B3A5C"/>
          <w:sz w:val="48"/>
          <w:szCs w:val="48"/>
        </w:rPr>
        <w:t xml:space="preserve">NYX CORE</w:t>
      </w:r>
    </w:p>
    <w:p>
      <w:pPr>
        <w:spacing w:after="200"/>
        <w:jc w:val="center"/>
      </w:pPr>
      <w:r>
        <w:rPr>
          <w:rFonts w:ascii="Arial" w:cs="Arial" w:eastAsia="Arial" w:hAnsi="Arial"/>
          <w:b/>
          <w:bCs/>
          <w:color w:val="64748B"/>
          <w:sz w:val="28"/>
          <w:szCs w:val="28"/>
        </w:rPr>
        <w:t xml:space="preserve">FORENSIC SYSTEMS AUDIT</w:t>
      </w:r>
    </w:p>
    <w:p>
      <w:pPr>
        <w:jc w:val="center"/>
      </w:pPr>
      <w:r>
        <w:rPr>
          <w:rFonts w:ascii="Arial" w:cs="Arial" w:eastAsia="Arial" w:hAnsi="Arial"/>
          <w:color w:val="CBD5E1"/>
          <w:sz w:val="20"/>
          <w:szCs w:val="20"/>
        </w:rPr>
        <w:t xml:space="preserve">________________________________________</w:t>
      </w:r>
    </w:p>
    <w:p>
      <w:pPr>
        <w:spacing w:after="400"/>
      </w:pPr>
    </w:p>
    <w:p>
      <w:pPr>
        <w:spacing w:after="120"/>
        <w:jc w:val="center"/>
      </w:pPr>
      <w:r>
        <w:rPr>
          <w:rFonts w:ascii="Arial" w:cs="Arial" w:eastAsia="Arial" w:hAnsi="Arial"/>
          <w:color w:val="334155"/>
          <w:sz w:val="24"/>
          <w:szCs w:val="24"/>
        </w:rPr>
        <w:t xml:space="preserve">Frontend ↔ Backend Integrity &amp; Financial Correctness</w:t>
      </w:r>
    </w:p>
    <w:p>
      <w:pPr>
        <w:spacing w:after="120"/>
        <w:jc w:val="center"/>
      </w:pPr>
      <w:r>
        <w:rPr>
          <w:rFonts w:ascii="Arial" w:cs="Arial" w:eastAsia="Arial" w:hAnsi="Arial"/>
          <w:color w:val="64748B"/>
          <w:sz w:val="22"/>
          <w:szCs w:val="22"/>
        </w:rPr>
        <w:t xml:space="preserve">FinAI Financial Intelligence Platform v2.0</w:t>
      </w:r>
    </w:p>
    <w:p>
      <w:pPr>
        <w:spacing w:after="120"/>
        <w:jc w:val="center"/>
      </w:pPr>
      <w:r>
        <w:rPr>
          <w:rFonts w:ascii="Arial" w:cs="Arial" w:eastAsia="Arial" w:hAnsi="Arial"/>
          <w:color w:val="64748B"/>
          <w:sz w:val="22"/>
          <w:szCs w:val="22"/>
        </w:rPr>
        <w:t xml:space="preserve">SOCAR Energy Georgia</w:t>
      </w:r>
    </w:p>
    <w:p>
      <w:pPr>
        <w:spacing w:after="800"/>
      </w:pPr>
    </w:p>
    <w:p>
      <w:pPr>
        <w:spacing w:after="80"/>
        <w:jc w:val="center"/>
      </w:pPr>
      <w:r>
        <w:rPr>
          <w:rFonts w:ascii="Arial" w:cs="Arial" w:eastAsia="Arial" w:hAnsi="Arial"/>
          <w:color w:val="64748B"/>
          <w:sz w:val="20"/>
          <w:szCs w:val="20"/>
        </w:rPr>
        <w:t xml:space="preserve">Audit Date: April 6, 2026</w:t>
      </w:r>
    </w:p>
    <w:p>
      <w:pPr>
        <w:spacing w:after="80"/>
        <w:jc w:val="center"/>
      </w:pPr>
      <w:r>
        <w:rPr>
          <w:rFonts w:ascii="Arial" w:cs="Arial" w:eastAsia="Arial" w:hAnsi="Arial"/>
          <w:b/>
          <w:bCs/>
          <w:color w:val="991B1B"/>
          <w:sz w:val="18"/>
          <w:szCs w:val="18"/>
        </w:rPr>
        <w:t xml:space="preserve">Classification: INTERNAL AUDIT — FINANCIAL CONTROLS</w:t>
      </w:r>
    </w:p>
    <w:p>
      <w:pPr>
        <w:jc w:val="center"/>
      </w:pPr>
      <w:r>
        <w:rPr>
          <w:rFonts w:ascii="Arial" w:cs="Arial" w:eastAsia="Arial" w:hAnsi="Arial"/>
          <w:color w:val="64748B"/>
          <w:sz w:val="18"/>
          <w:szCs w:val="18"/>
        </w:rPr>
        <w:t xml:space="preserve">Audit Version: v4 (Comprehensive)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FINAL VERDICT</w:t>
      </w:r>
    </w:p>
    <w:p>
      <w:pPr>
        <w:pBdr>
          <w:top w:val="single" w:color="F59E0B" w:sz="4" w:space="4"/>
          <w:bottom w:val="single" w:color="F59E0B" w:sz="4" w:space="4"/>
        </w:pBdr>
        <w:shd w:fill="FFFBEB" w:val="clear"/>
        <w:spacing w:after="200"/>
      </w:pPr>
      <w:r>
        <w:rPr>
          <w:rFonts w:ascii="Arial" w:cs="Arial" w:eastAsia="Arial" w:hAnsi="Arial"/>
          <w:color w:val="92400E"/>
          <w:sz w:val="22"/>
          <w:szCs w:val="22"/>
        </w:rPr>
        <w:t xml:space="preserve">This is a REAL financial system with a functional computation pipeline, but it operates with significant demo-data contamination that makes production outputs unreliable without cleanup. </w:t>
      </w:r>
      <w:r>
        <w:rPr>
          <w:rFonts w:ascii="Arial" w:cs="Arial" w:eastAsia="Arial" w:hAnsi="Arial"/>
          <w:color w:val="92400E"/>
          <w:sz w:val="22"/>
          <w:szCs w:val="22"/>
        </w:rPr>
        <w:t xml:space="preserve">The core math is deterministic and auditable. The LLM never computes financial numbers. However, seed data, fallback hardcoded values, and synthetic warehouse data create an illusion layer that can mislead users into trusting demo outputs as real analysis.</w:t>
      </w:r>
    </w:p>
    <w:p>
      <w:pPr>
        <w:spacing w:after="100"/>
      </w:pPr>
    </w:p>
    <w:p>
      <w:pPr>
        <w:pStyle w:val="Heading2"/>
      </w:pPr>
      <w:r>
        <w:rPr>
          <w:rFonts w:ascii="Arial" w:cs="Arial" w:eastAsia="Arial" w:hAnsi="Arial"/>
        </w:rPr>
        <w:t xml:space="preserve">Executive Scores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760"/>
      </w:tblGrid>
      <w:tr>
        <w:tc>
          <w:tcPr>
            <w:tcW w:type="dxa" w:w="4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2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2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Frontend Reality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4155"/>
                <w:sz w:val="18"/>
                <w:szCs w:val="18"/>
              </w:rPr>
              <w:t xml:space="preserve">7 / 10</w:t>
            </w:r>
          </w:p>
        </w:tc>
        <w:tc>
          <w:tcPr>
            <w:tcW w:type="dxa" w:w="276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854D0E"/>
                <w:sz w:val="18"/>
                <w:szCs w:val="18"/>
              </w:rPr>
              <w:t xml:space="preserve">PARTIALLY REAL</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Frontend ↔ Backend Connectivity</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334155"/>
                <w:sz w:val="18"/>
                <w:szCs w:val="18"/>
              </w:rPr>
              <w:t xml:space="preserve">8 / 10</w:t>
            </w:r>
          </w:p>
        </w:tc>
        <w:tc>
          <w:tcPr>
            <w:tcW w:type="dxa" w:w="27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MOSTLY CONNECTED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Financial Correctness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4155"/>
                <w:sz w:val="18"/>
                <w:szCs w:val="18"/>
              </w:rPr>
              <w:t xml:space="preserve">9 / 10</w:t>
            </w:r>
          </w:p>
        </w:tc>
        <w:tc>
          <w:tcPr>
            <w:tcW w:type="dxa" w:w="27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Data Authenticity</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334155"/>
                <w:sz w:val="18"/>
                <w:szCs w:val="18"/>
              </w:rPr>
              <w:t xml:space="preserve">5 / 10</w:t>
            </w:r>
          </w:p>
        </w:tc>
        <w:tc>
          <w:tcPr>
            <w:tcW w:type="dxa" w:w="27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CONTAMINATED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Reproducibility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4155"/>
                <w:sz w:val="18"/>
                <w:szCs w:val="18"/>
              </w:rPr>
              <w:t xml:space="preserve">9 / 10</w:t>
            </w:r>
          </w:p>
        </w:tc>
        <w:tc>
          <w:tcPr>
            <w:tcW w:type="dxa" w:w="27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DETERMINISTIC</w:t>
            </w:r>
          </w:p>
        </w:tc>
      </w:tr>
      <w:tr>
        <w:tc>
          <w:tcPr>
            <w:tcW w:type="dxa" w:w="4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End-to-End Integrity</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334155"/>
                <w:sz w:val="18"/>
                <w:szCs w:val="18"/>
              </w:rPr>
              <w:t xml:space="preserve">6 / 10</w:t>
            </w:r>
          </w:p>
        </w:tc>
        <w:tc>
          <w:tcPr>
            <w:tcW w:type="dxa" w:w="2760"/>
            <w:tcBorders>
              <w:top w:val="single" w:color="CCCCCC" w:sz="1"/>
              <w:left w:val="single" w:color="CCCCCC" w:sz="1"/>
              <w:bottom w:val="single" w:color="CCCCCC" w:sz="1"/>
              <w:right w:val="single" w:color="CCCCCC" w:sz="1"/>
            </w:tcBorders>
            <w:shd w:fill="FED7AA"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FUNCTIONAL W/ GAPS</w:t>
            </w:r>
          </w:p>
        </w:tc>
      </w:tr>
    </w:tbl>
    <w:p>
      <w:pPr>
        <w:spacing w:after="200"/>
      </w:pPr>
    </w:p>
    <w:p>
      <w:r>
        <w:br w:type="page"/>
      </w:r>
    </w:p>
    <w:p>
      <w:pPr>
        <w:pStyle w:val="Heading1"/>
      </w:pPr>
      <w:r>
        <w:rPr>
          <w:rFonts w:ascii="Arial" w:cs="Arial" w:eastAsia="Arial" w:hAnsi="Arial"/>
        </w:rPr>
        <w:t xml:space="preserve">1. Frontend Reality Check</w:t>
      </w:r>
    </w:p>
    <w:p>
      <w:pPr>
        <w:pStyle w:val="Heading2"/>
      </w:pPr>
      <w:r>
        <w:rPr>
          <w:rFonts w:ascii="Arial" w:cs="Arial" w:eastAsia="Arial" w:hAnsi="Arial"/>
        </w:rPr>
        <w:t xml:space="preserve">1A. Data Binding Analysis</w:t>
      </w:r>
    </w:p>
    <w:p>
      <w:pPr>
        <w:spacing w:after="120" w:line="276"/>
      </w:pPr>
      <w:r>
        <w:rPr>
          <w:rFonts w:ascii="Arial" w:cs="Arial" w:eastAsia="Arial" w:hAnsi="Arial"/>
          <w:color w:val="334155"/>
          <w:sz w:val="20"/>
          <w:szCs w:val="20"/>
        </w:rPr>
        <w:t xml:space="preserve">The frontend is a monolithic single-file HTML application (~480KB) serving as the FinAI Platform v8 UI. Data binding follows a multi-tier fallback pattern with clear priority chains.</w:t>
      </w:r>
    </w:p>
    <w:p>
      <w:pPr>
        <w:spacing w:after="60"/>
      </w:pPr>
    </w:p>
    <w:p>
      <w:pPr>
        <w:spacing w:after="120" w:line="276"/>
      </w:pPr>
      <w:r>
        <w:rPr>
          <w:rFonts w:ascii="Arial" w:cs="Arial" w:eastAsia="Arial" w:hAnsi="Arial"/>
          <w:b/>
          <w:bCs/>
          <w:color w:val="1E293B"/>
          <w:sz w:val="20"/>
          <w:szCs w:val="20"/>
        </w:rPr>
        <w:t xml:space="preserve">Primary data source: </w:t>
      </w:r>
      <w:r>
        <w:rPr>
          <w:rFonts w:ascii="Arial" w:cs="Arial" w:eastAsia="Arial" w:hAnsi="Arial"/>
          <w:color w:val="334155"/>
          <w:sz w:val="20"/>
          <w:szCs w:val="20"/>
        </w:rPr>
        <w:t xml:space="preserve">Real API calls to the FastAPI backend. The frontend issues fetch() requests to 50+ distinct API endpoints across analytics, agent services, datasets, reports, and external data domains.</w:t>
      </w:r>
    </w:p>
    <w:p>
      <w:pPr>
        <w:spacing w:after="120" w:line="276"/>
      </w:pPr>
      <w:r>
        <w:rPr>
          <w:rFonts w:ascii="Arial" w:cs="Arial" w:eastAsia="Arial" w:hAnsi="Arial"/>
          <w:b/>
          <w:bCs/>
          <w:color w:val="1E293B"/>
          <w:sz w:val="20"/>
          <w:szCs w:val="20"/>
        </w:rPr>
        <w:t xml:space="preserve">Secondary fallback: </w:t>
      </w:r>
      <w:r>
        <w:rPr>
          <w:rFonts w:ascii="Arial" w:cs="Arial" w:eastAsia="Arial" w:hAnsi="Arial"/>
          <w:color w:val="334155"/>
          <w:sz w:val="20"/>
          <w:szCs w:val="20"/>
        </w:rPr>
        <w:t xml:space="preserve">Client-side computation from locally-held data arrays (TXN, REV, BUD) that were populated by prior API responses or seed data.</w:t>
      </w:r>
    </w:p>
    <w:p>
      <w:pPr>
        <w:spacing w:after="120" w:line="276"/>
      </w:pPr>
      <w:r>
        <w:rPr>
          <w:rFonts w:ascii="Arial" w:cs="Arial" w:eastAsia="Arial" w:hAnsi="Arial"/>
          <w:b/>
          <w:bCs/>
          <w:color w:val="1E293B"/>
          <w:sz w:val="20"/>
          <w:szCs w:val="20"/>
        </w:rPr>
        <w:t xml:space="preserve">Tertiary fallback: </w:t>
      </w:r>
      <w:r>
        <w:rPr>
          <w:rFonts w:ascii="Arial" w:cs="Arial" w:eastAsia="Arial" w:hAnsi="Arial"/>
          <w:color w:val="334155"/>
          <w:sz w:val="20"/>
          <w:szCs w:val="20"/>
        </w:rPr>
        <w:t xml:space="preserve">Hardcoded PL_SEED object embedded directly in the HTML, containing a complete SOCAR Energy Georgia P&amp;L statement with 19 line items across three periods (Prior, Actual, Plan).</w:t>
      </w:r>
    </w:p>
    <w:p>
      <w:pPr>
        <w:spacing w:after="100"/>
      </w:pPr>
    </w:p>
    <w:p>
      <w:pPr>
        <w:pStyle w:val="Heading2"/>
      </w:pPr>
      <w:r>
        <w:rPr>
          <w:rFonts w:ascii="Arial" w:cs="Arial" w:eastAsia="Arial" w:hAnsi="Arial"/>
        </w:rPr>
        <w:t xml:space="preserve">1B. Dashboard Authenticity</w:t>
      </w:r>
    </w:p>
    <w:p>
      <w:pPr>
        <w:spacing w:after="120" w:line="276"/>
      </w:pPr>
      <w:r>
        <w:rPr>
          <w:rFonts w:ascii="Arial" w:cs="Arial" w:eastAsia="Arial" w:hAnsi="Arial"/>
          <w:color w:val="334155"/>
          <w:sz w:val="20"/>
          <w:szCs w:val="20"/>
        </w:rPr>
        <w:t xml:space="preserve">The main dashboard renders 6 KPI cards. Each follows the same priority chain: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 Card</w:t>
            </w:r>
          </w:p>
        </w:tc>
        <w:tc>
          <w:tcPr>
            <w:tcW w:type="dxa" w:w="36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Real API Source</w:t>
            </w:r>
          </w:p>
        </w:tc>
        <w:tc>
          <w:tcPr>
            <w:tcW w:type="dxa" w:w="36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Fallback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Net Revenue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/api/agent/agents/dashboard → kpis.net_revenue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PL_SEED or REV.reduce() sum</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Gross Margin</w:t>
            </w:r>
          </w:p>
        </w:tc>
        <w:tc>
          <w:tcPr>
            <w:tcW w:type="dxa" w:w="3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/api/agent/agents/dashboard → kpis.gross_margin</w:t>
            </w:r>
          </w:p>
        </w:tc>
        <w:tc>
          <w:tcPr>
            <w:tcW w:type="dxa" w:w="3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Client-side: (revenue - cogs)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COGS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/api/agent/agents/dashboard → kpis.cogs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BUD['COGS'] or 0</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OpEx</w:t>
            </w:r>
          </w:p>
        </w:tc>
        <w:tc>
          <w:tcPr>
            <w:tcW w:type="dxa" w:w="3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/api/agent/agents/dashboard → kpis.total_opex</w:t>
            </w:r>
          </w:p>
        </w:tc>
        <w:tc>
          <w:tcPr>
            <w:tcW w:type="dxa" w:w="3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Filter TXN for expense categories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Retail Revenue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/api/agent/agents/dashboard → kpis.retail_revenue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BUD['Revenue Retail'] or 0</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Wholesale Margin</w:t>
            </w:r>
          </w:p>
        </w:tc>
        <w:tc>
          <w:tcPr>
            <w:tcW w:type="dxa" w:w="3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/api/agent/agents/dashboard → kpis.wholesale_margin</w:t>
            </w:r>
          </w:p>
        </w:tc>
        <w:tc>
          <w:tcPr>
            <w:tcW w:type="dxa" w:w="3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BUD['Gr. Margin Wholesale'] or 0</w:t>
            </w:r>
          </w:p>
        </w:tc>
      </w:tr>
    </w:tbl>
    <w:p>
      <w:pPr>
        <w:spacing w:after="100"/>
      </w:pPr>
    </w:p>
    <w:p>
      <w:pPr>
        <w:spacing w:after="120" w:line="276"/>
      </w:pPr>
      <w:r>
        <w:rPr>
          <w:rFonts w:ascii="Arial" w:cs="Arial" w:eastAsia="Arial" w:hAnsi="Arial"/>
          <w:b/>
          <w:bCs/>
          <w:color w:val="1E293B"/>
          <w:sz w:val="20"/>
          <w:szCs w:val="20"/>
        </w:rPr>
        <w:t xml:space="preserve">Red Flag: </w:t>
      </w:r>
      <w:r>
        <w:rPr>
          <w:rFonts w:ascii="Arial" w:cs="Arial" w:eastAsia="Arial" w:hAnsi="Arial"/>
          <w:color w:val="334155"/>
          <w:sz w:val="20"/>
          <w:szCs w:val="20"/>
        </w:rPr>
        <w:t xml:space="preserve">When the backend is unreachable, the dashboard silently falls back to hardcoded PL_SEED values. The only indicator is a subtle alert if totalRevNet === 0. Partial fallback to local data produces NO warning, meaning users may see a mix of real and demo numbers without knowing.</w:t>
      </w:r>
    </w:p>
    <w:p>
      <w:pPr>
        <w:spacing w:after="100"/>
      </w:pPr>
    </w:p>
    <w:p>
      <w:pPr>
        <w:pStyle w:val="Heading2"/>
      </w:pPr>
      <w:r>
        <w:rPr>
          <w:rFonts w:ascii="Arial" w:cs="Arial" w:eastAsia="Arial" w:hAnsi="Arial"/>
        </w:rPr>
        <w:t xml:space="preserve">1C. Loading States</w:t>
      </w:r>
    </w:p>
    <w:p>
      <w:pPr>
        <w:spacing w:after="120" w:line="276"/>
      </w:pPr>
      <w:r>
        <w:rPr>
          <w:rFonts w:ascii="Arial" w:cs="Arial" w:eastAsia="Arial" w:hAnsi="Arial"/>
          <w:color w:val="334155"/>
          <w:sz w:val="20"/>
          <w:szCs w:val="20"/>
        </w:rPr>
        <w:t xml:space="preserve">Skeleton/shimmer animations are used across orchestrator stages, strategy timelines, decision verdicts, and analogy results. These are genuine loading indicators that await real API responses, not fake decorations. They are replaced by actual data once the fetch() promise resolves.</w:t>
      </w:r>
    </w:p>
    <w:p>
      <w:pPr>
        <w:spacing w:after="100"/>
      </w:pPr>
    </w:p>
    <w:p>
      <w:pPr>
        <w:pStyle w:val="Heading2"/>
      </w:pPr>
      <w:r>
        <w:rPr>
          <w:rFonts w:ascii="Arial" w:cs="Arial" w:eastAsia="Arial" w:hAnsi="Arial"/>
        </w:rPr>
        <w:t xml:space="preserve">1D. Failure Simulation</w:t>
      </w:r>
    </w:p>
    <w:p>
      <w:pPr>
        <w:spacing w:after="120" w:line="276"/>
      </w:pPr>
      <w:r>
        <w:rPr>
          <w:rFonts w:ascii="Arial" w:cs="Arial" w:eastAsia="Arial" w:hAnsi="Arial"/>
          <w:color w:val="334155"/>
          <w:sz w:val="20"/>
          <w:szCs w:val="20"/>
        </w:rPr>
        <w:t xml:space="preserve">When the API fails, the UI does NOT break. Instead, it silently degrades to local data. This is architecturally sound for resilience but dangerous for data integrity: the user cannot distinguish between real backend-computed financials and locally-cached or hardcoded fallback data.</w:t>
      </w:r>
    </w:p>
    <w:p>
      <w:pPr>
        <w:spacing w:after="200"/>
      </w:pPr>
    </w:p>
    <w:p>
      <w:r>
        <w:br w:type="page"/>
      </w:r>
    </w:p>
    <w:p>
      <w:pPr>
        <w:pStyle w:val="Heading1"/>
      </w:pPr>
      <w:r>
        <w:rPr>
          <w:rFonts w:ascii="Arial" w:cs="Arial" w:eastAsia="Arial" w:hAnsi="Arial"/>
        </w:rPr>
        <w:t xml:space="preserve">2. Frontend ↔ Backend Connectivity</w:t>
      </w:r>
    </w:p>
    <w:p>
      <w:pPr>
        <w:pStyle w:val="Heading2"/>
      </w:pPr>
      <w:r>
        <w:rPr>
          <w:rFonts w:ascii="Arial" w:cs="Arial" w:eastAsia="Arial" w:hAnsi="Arial"/>
        </w:rPr>
        <w:t xml:space="preserve">2A. API Integrity</w:t>
      </w:r>
    </w:p>
    <w:p>
      <w:pPr>
        <w:spacing w:after="120" w:line="276"/>
      </w:pPr>
      <w:r>
        <w:rPr>
          <w:rFonts w:ascii="Arial" w:cs="Arial" w:eastAsia="Arial" w:hAnsi="Arial"/>
          <w:color w:val="334155"/>
          <w:sz w:val="20"/>
          <w:szCs w:val="20"/>
        </w:rPr>
        <w:t xml:space="preserve">The FastAPI backend (main.py) registers 20+ routers covering: datasets, analytics, agent services, reports, schemas, tools, advanced features, MR reports, auth, external data, documents, ontology, journal, AP automation, consolidation, compliance, ESG, subledger, company360, orchestration, flywheel, and workshop.</w:t>
      </w:r>
    </w:p>
    <w:p>
      <w:pPr>
        <w:spacing w:after="60"/>
      </w:pPr>
    </w:p>
    <w:p>
      <w:pPr>
        <w:spacing w:after="120" w:line="276"/>
      </w:pPr>
      <w:r>
        <w:rPr>
          <w:rFonts w:ascii="Arial" w:cs="Arial" w:eastAsia="Arial" w:hAnsi="Arial"/>
          <w:color w:val="334155"/>
          <w:sz w:val="20"/>
          <w:szCs w:val="20"/>
        </w:rPr>
        <w:t xml:space="preserve">The frontend calls 50+ distinct endpoints. Every fetch() targets a real backend route. No phantom endpoints were found (endpoints called by frontend but not registered on backend). WebSocket streaming at /ws/chat provides real-time token-by-token AI responses with proper auth handshake.</w:t>
      </w:r>
    </w:p>
    <w:p>
      <w:pPr>
        <w:spacing w:after="100"/>
      </w:pPr>
    </w:p>
    <w:p>
      <w:pPr>
        <w:pStyle w:val="Heading2"/>
      </w:pPr>
      <w:r>
        <w:rPr>
          <w:rFonts w:ascii="Arial" w:cs="Arial" w:eastAsia="Arial" w:hAnsi="Arial"/>
        </w:rPr>
        <w:t xml:space="preserve">2B. Data Transformation Layer</w:t>
      </w:r>
    </w:p>
    <w:p>
      <w:pPr>
        <w:spacing w:after="120" w:line="276"/>
      </w:pPr>
      <w:r>
        <w:rPr>
          <w:rFonts w:ascii="Arial" w:cs="Arial" w:eastAsia="Arial" w:hAnsi="Arial"/>
          <w:b/>
          <w:bCs/>
          <w:color w:val="1E293B"/>
          <w:sz w:val="20"/>
          <w:szCs w:val="20"/>
        </w:rPr>
        <w:t xml:space="preserve">Yellow Flag — Dual Computation Risk: </w:t>
      </w:r>
      <w:r>
        <w:rPr>
          <w:rFonts w:ascii="Arial" w:cs="Arial" w:eastAsia="Arial" w:hAnsi="Arial"/>
          <w:color w:val="334155"/>
          <w:sz w:val="20"/>
          <w:szCs w:val="20"/>
        </w:rPr>
        <w:t xml:space="preserve">Some financial metrics are computed BOTH on the backend (Decimal-based in calculation_engine.py) AND on the frontend (JavaScript fallback). If the backend returns data AND the frontend re-computes from local arrays, divergent results are possible. The frontend expense categorization groups TXN by cost_class; the backend uses a different aggregation path through the GL pipeline.</w:t>
      </w:r>
    </w:p>
    <w:p>
      <w:pPr>
        <w:spacing w:after="100"/>
      </w:pPr>
    </w:p>
    <w:p>
      <w:pPr>
        <w:pStyle w:val="Heading2"/>
      </w:pPr>
      <w:r>
        <w:rPr>
          <w:rFonts w:ascii="Arial" w:cs="Arial" w:eastAsia="Arial" w:hAnsi="Arial"/>
        </w:rPr>
        <w:t xml:space="preserve">2C. Async Flow &amp; WebSocket</w:t>
      </w:r>
    </w:p>
    <w:p>
      <w:pPr>
        <w:spacing w:after="120" w:line="276"/>
      </w:pPr>
      <w:r>
        <w:rPr>
          <w:rFonts w:ascii="Arial" w:cs="Arial" w:eastAsia="Arial" w:hAnsi="Arial"/>
          <w:color w:val="334155"/>
          <w:sz w:val="20"/>
          <w:szCs w:val="20"/>
        </w:rPr>
        <w:t xml:space="preserve">WebSocket connection at ws://[BACKEND_URL]/ws/chat handles two message types: 'token' for LLM response streaming and 'reasoning' for agent transparency. Auto-reconnect after 5 seconds on disconnect. Status indicator shows WS: live / WS: offline. All async API calls use proper await patterns with try/catch error handling.</w:t>
      </w:r>
    </w:p>
    <w:p>
      <w:pPr>
        <w:spacing w:after="200"/>
      </w:pPr>
    </w:p>
    <w:p>
      <w:r>
        <w:br w:type="page"/>
      </w:r>
    </w:p>
    <w:p>
      <w:pPr>
        <w:pStyle w:val="Heading1"/>
      </w:pPr>
      <w:r>
        <w:rPr>
          <w:rFonts w:ascii="Arial" w:cs="Arial" w:eastAsia="Arial" w:hAnsi="Arial"/>
        </w:rPr>
        <w:t xml:space="preserve">3. Backend Computation Verification</w:t>
      </w:r>
    </w:p>
    <w:p>
      <w:pPr>
        <w:pStyle w:val="Heading2"/>
      </w:pPr>
      <w:r>
        <w:rPr>
          <w:rFonts w:ascii="Arial" w:cs="Arial" w:eastAsia="Arial" w:hAnsi="Arial"/>
        </w:rPr>
        <w:t xml:space="preserve">3A. Financial Calculations — Core Engine</w:t>
      </w:r>
    </w:p>
    <w:p>
      <w:pPr>
        <w:spacing w:after="120" w:line="276"/>
      </w:pPr>
      <w:r>
        <w:rPr>
          <w:rFonts w:ascii="Arial" w:cs="Arial" w:eastAsia="Arial" w:hAnsi="Arial"/>
          <w:color w:val="334155"/>
          <w:sz w:val="20"/>
          <w:szCs w:val="20"/>
        </w:rPr>
        <w:t xml:space="preserve">The core calculation engine (calculation_engine.py) uses Python's Decimal class with ROUND_HALF_UP precision throughout. Every arithmetic operation (add, subtract, multiply, divide, margin, growth_rate, allocate) is pure deterministic code. No LLM is involved in any financial number computation.</w:t>
      </w:r>
    </w:p>
    <w:p>
      <w:pPr>
        <w:spacing w:after="60"/>
      </w:pPr>
    </w:p>
    <w:p>
      <w:pPr>
        <w:spacing w:after="120" w:line="276"/>
      </w:pPr>
      <w:r>
        <w:rPr>
          <w:rFonts w:ascii="Arial" w:cs="Arial" w:eastAsia="Arial" w:hAnsi="Arial"/>
          <w:b/>
          <w:bCs/>
          <w:color w:val="1E293B"/>
          <w:sz w:val="20"/>
          <w:szCs w:val="20"/>
        </w:rPr>
        <w:t xml:space="preserve">Pipeline: </w:t>
      </w:r>
      <w:r>
        <w:rPr>
          <w:rFonts w:ascii="Arial" w:cs="Arial" w:eastAsia="Arial" w:hAnsi="Arial"/>
          <w:color w:val="334155"/>
          <w:sz w:val="20"/>
          <w:szCs w:val="20"/>
        </w:rPr>
        <w:t xml:space="preserve">Input (float) → to_decimal() → Arithmetic → quantize(2 places) → to_float() → Database/API response</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2320"/>
      </w:tblGrid>
      <w:tr>
        <w:tc>
          <w:tcPr>
            <w:tcW w:type="dxa" w:w="2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Deterministic</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LLM Numbers</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Hardcoded</w:t>
            </w:r>
          </w:p>
        </w:tc>
        <w:tc>
          <w:tcPr>
            <w:tcW w:type="dxa" w:w="232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calculation_engine.py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66534"/>
                <w:sz w:val="18"/>
                <w:szCs w:val="18"/>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income_statement.py</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YES</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tb_to_statements.py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854D0E"/>
                <w:sz w:val="18"/>
                <w:szCs w:val="18"/>
              </w:rPr>
              <w:t xml:space="preserve">YES (math)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854D0E"/>
                <w:sz w:val="18"/>
                <w:szCs w:val="18"/>
              </w:rPr>
              <w:t xml:space="preserve">CAUTION</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cash_flow.py</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YES</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socar_pl_engine.py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66534"/>
                <w:sz w:val="18"/>
                <w:szCs w:val="18"/>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financial_reasoning.py</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YES (math)</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calc_agent.py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854D0E"/>
                <w:sz w:val="18"/>
                <w:szCs w:val="18"/>
              </w:rPr>
              <w:t xml:space="preserve">YES (via tools)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854D0E"/>
                <w:sz w:val="18"/>
                <w:szCs w:val="18"/>
              </w:rPr>
              <w:t xml:space="preserve">CONDITIONAL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232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854D0E"/>
                <w:sz w:val="18"/>
                <w:szCs w:val="18"/>
              </w:rPr>
              <w:t xml:space="preserve">CAUTION</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warehouse.py (synthetic)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PSEUDO</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166534"/>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color w:val="991B1B"/>
                <w:sz w:val="18"/>
                <w:szCs w:val="18"/>
              </w:rPr>
              <w:t xml:space="preserve">YES (random)</w:t>
            </w:r>
          </w:p>
        </w:tc>
        <w:tc>
          <w:tcPr>
            <w:tcW w:type="dxa" w:w="232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FAIL</w:t>
            </w:r>
          </w:p>
        </w:tc>
      </w:tr>
    </w:tbl>
    <w:p>
      <w:pPr>
        <w:spacing w:after="100"/>
      </w:pPr>
    </w:p>
    <w:p>
      <w:pPr>
        <w:pStyle w:val="Heading2"/>
      </w:pPr>
      <w:r>
        <w:rPr>
          <w:rFonts w:ascii="Arial" w:cs="Arial" w:eastAsia="Arial" w:hAnsi="Arial"/>
        </w:rPr>
        <w:t xml:space="preserve">3B. LLM Role Boundaries</w:t>
      </w:r>
    </w:p>
    <w:p>
      <w:pPr>
        <w:spacing w:after="120" w:line="276"/>
      </w:pPr>
      <w:r>
        <w:rPr>
          <w:rFonts w:ascii="Arial" w:cs="Arial" w:eastAsia="Arial" w:hAnsi="Arial"/>
          <w:color w:val="334155"/>
          <w:sz w:val="20"/>
          <w:szCs w:val="20"/>
        </w:rPr>
        <w:t xml:space="preserve">The CalcAgent uses Claude as an orchestrator that selects which deterministic tools to call. The system prompt explicitly mandates: all financial figures must be EXACT. Claude's role is to parse user intent, select tools, and explain results. Claude does NOT generate revenue, COGS, margins, or any financial numbers. All derived metrics flow through the Decimal-based calculation engine.</w:t>
      </w:r>
    </w:p>
    <w:p>
      <w:pPr>
        <w:spacing w:after="60"/>
      </w:pPr>
    </w:p>
    <w:p>
      <w:pPr>
        <w:spacing w:after="120" w:line="276"/>
      </w:pPr>
      <w:r>
        <w:rPr>
          <w:rFonts w:ascii="Arial" w:cs="Arial" w:eastAsia="Arial" w:hAnsi="Arial"/>
          <w:b/>
          <w:bCs/>
          <w:color w:val="1E293B"/>
          <w:sz w:val="20"/>
          <w:szCs w:val="20"/>
        </w:rPr>
        <w:t xml:space="preserve">Exception — Narrative Engine: </w:t>
      </w:r>
      <w:r>
        <w:rPr>
          <w:rFonts w:ascii="Arial" w:cs="Arial" w:eastAsia="Arial" w:hAnsi="Arial"/>
          <w:color w:val="334155"/>
          <w:sz w:val="20"/>
          <w:szCs w:val="20"/>
        </w:rPr>
        <w:t xml:space="preserve">Template-based text explanations accompany financial outputs. These narratives describe trends and drivers but contain no independently-computed numbers. All referenced figures originate from the deterministic pipeline.</w:t>
      </w:r>
    </w:p>
    <w:p>
      <w:pPr>
        <w:spacing w:after="100"/>
      </w:pPr>
    </w:p>
    <w:p>
      <w:pPr>
        <w:pStyle w:val="Heading2"/>
      </w:pPr>
      <w:r>
        <w:rPr>
          <w:rFonts w:ascii="Arial" w:cs="Arial" w:eastAsia="Arial" w:hAnsi="Arial"/>
        </w:rPr>
        <w:t xml:space="preserve">3C. Reproducibility</w:t>
      </w:r>
    </w:p>
    <w:p>
      <w:pPr>
        <w:spacing w:after="120" w:line="276"/>
      </w:pPr>
      <w:r>
        <w:rPr>
          <w:rFonts w:ascii="Arial" w:cs="Arial" w:eastAsia="Arial" w:hAnsi="Arial"/>
          <w:color w:val="334155"/>
          <w:sz w:val="20"/>
          <w:szCs w:val="20"/>
        </w:rPr>
        <w:t xml:space="preserve">For the core calculation pipeline: same input produces identical output every time. The Decimal-based engine with ROUND_HALF_UP quantization is fully deterministic. Balance Sheet validation enforces Assets = Liabilities + Equity within a strict tolerance of plus or minus 1 GEL.</w:t>
      </w:r>
    </w:p>
    <w:p>
      <w:pPr>
        <w:spacing w:after="60"/>
      </w:pPr>
    </w:p>
    <w:p>
      <w:pPr>
        <w:spacing w:after="120" w:line="276"/>
      </w:pPr>
      <w:r>
        <w:rPr>
          <w:rFonts w:ascii="Arial" w:cs="Arial" w:eastAsia="Arial" w:hAnsi="Arial"/>
          <w:b/>
          <w:bCs/>
          <w:color w:val="1E293B"/>
          <w:sz w:val="20"/>
          <w:szCs w:val="20"/>
        </w:rPr>
        <w:t xml:space="preserve">Critical Exception — warehouse.py: </w:t>
      </w:r>
      <w:r>
        <w:rPr>
          <w:rFonts w:ascii="Arial" w:cs="Arial" w:eastAsia="Arial" w:hAnsi="Arial"/>
          <w:color w:val="334155"/>
          <w:sz w:val="20"/>
          <w:szCs w:val="20"/>
        </w:rPr>
        <w:t xml:space="preserve">The generate_historical_periods() function uses random.seed(42) with 3% random noise to create synthetic historical data. While seed(42) makes output reproducible within the same Python session, this is fabricated data not traceable to any real input. If this function runs in production (not just testing), all historical comparative analysis is based on synthetic numbers.</w:t>
      </w:r>
    </w:p>
    <w:p>
      <w:pPr>
        <w:spacing w:after="200"/>
      </w:pPr>
    </w:p>
    <w:p>
      <w:r>
        <w:br w:type="page"/>
      </w:r>
    </w:p>
    <w:p>
      <w:pPr>
        <w:pStyle w:val="Heading1"/>
      </w:pPr>
      <w:r>
        <w:rPr>
          <w:rFonts w:ascii="Arial" w:cs="Arial" w:eastAsia="Arial" w:hAnsi="Arial"/>
        </w:rPr>
        <w:t xml:space="preserve">4. Financial Correctness</w:t>
      </w:r>
    </w:p>
    <w:p>
      <w:pPr>
        <w:pStyle w:val="Heading2"/>
      </w:pPr>
      <w:r>
        <w:rPr>
          <w:rFonts w:ascii="Arial" w:cs="Arial" w:eastAsia="Arial" w:hAnsi="Arial"/>
        </w:rPr>
        <w:t xml:space="preserve">4A. Core Metric Formulas</w:t>
      </w:r>
    </w:p>
    <w:p>
      <w:pPr>
        <w:spacing w:after="120" w:line="276"/>
      </w:pPr>
      <w:r>
        <w:rPr>
          <w:rFonts w:ascii="Arial" w:cs="Arial" w:eastAsia="Arial" w:hAnsi="Arial"/>
          <w:color w:val="334155"/>
          <w:sz w:val="20"/>
          <w:szCs w:val="20"/>
        </w:rPr>
        <w:t xml:space="preserve">All P&amp;L waterfall formulas are mathematically correct and consistent:</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652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(Code-Verified)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Total Revenue</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sum(wholesale + retail + other_revenue)</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Gross Profit</w:t>
            </w:r>
          </w:p>
        </w:tc>
        <w:tc>
          <w:tcPr>
            <w:tcW w:type="dxa" w:w="652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Total Revenue - Total COGS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EBITDA</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Gross Profit - G&amp;A Expenses</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EBIT</w:t>
            </w:r>
          </w:p>
        </w:tc>
        <w:tc>
          <w:tcPr>
            <w:tcW w:type="dxa" w:w="652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EBITDA - Depreciation &amp; Amortization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EBT</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EBIT - Finance Costs + Finance Income</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Net Profit</w:t>
            </w:r>
          </w:p>
        </w:tc>
        <w:tc>
          <w:tcPr>
            <w:tcW w:type="dxa" w:w="652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EBT - Income Tax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Gross Margin %</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(Gross Profit / Revenue) * 100</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CFS Operating</w:t>
            </w:r>
          </w:p>
        </w:tc>
        <w:tc>
          <w:tcPr>
            <w:tcW w:type="dxa" w:w="652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Net Income + D&amp;A + Working Capital Changes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BS Validation</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Assets = Liabilities + Equity (tolerance: ±₾1.00)</w:t>
            </w:r>
          </w:p>
        </w:tc>
      </w:tr>
    </w:tbl>
    <w:p>
      <w:pPr>
        <w:spacing w:after="100"/>
      </w:pPr>
    </w:p>
    <w:p>
      <w:pPr>
        <w:pStyle w:val="Heading2"/>
      </w:pPr>
      <w:r>
        <w:rPr>
          <w:rFonts w:ascii="Arial" w:cs="Arial" w:eastAsia="Arial" w:hAnsi="Arial"/>
        </w:rPr>
        <w:t xml:space="preserve">4B. Cross-Validation</w:t>
      </w:r>
    </w:p>
    <w:p>
      <w:pPr>
        <w:spacing w:after="120" w:line="276"/>
      </w:pPr>
      <w:r>
        <w:rPr>
          <w:rFonts w:ascii="Arial" w:cs="Arial" w:eastAsia="Arial" w:hAnsi="Arial"/>
          <w:color w:val="334155"/>
          <w:sz w:val="20"/>
          <w:szCs w:val="20"/>
        </w:rPr>
        <w:t xml:space="preserve">Backend and frontend can diverge when operating in fallback mode. The backend calculates metrics through the Decimal pipeline; the frontend may compute the same metrics from locally-held JavaScript arrays using floating-point arithmetic. This dual-computation path is the primary cross-validation risk. When both are sourced from the same backend response, numbers match exactly.</w:t>
      </w:r>
    </w:p>
    <w:p>
      <w:pPr>
        <w:spacing w:after="100"/>
      </w:pPr>
    </w:p>
    <w:p>
      <w:pPr>
        <w:pStyle w:val="Heading2"/>
      </w:pPr>
      <w:r>
        <w:rPr>
          <w:rFonts w:ascii="Arial" w:cs="Arial" w:eastAsia="Arial" w:hAnsi="Arial"/>
        </w:rPr>
        <w:t xml:space="preserve">4C. Explanation vs Calculation</w:t>
      </w:r>
    </w:p>
    <w:p>
      <w:pPr>
        <w:spacing w:after="120" w:line="276"/>
      </w:pPr>
      <w:r>
        <w:rPr>
          <w:rFonts w:ascii="Arial" w:cs="Arial" w:eastAsia="Arial" w:hAnsi="Arial"/>
          <w:color w:val="334155"/>
          <w:sz w:val="20"/>
          <w:szCs w:val="20"/>
        </w:rPr>
        <w:t xml:space="preserve">The financial_reasoning module generates explanations using template-based narratives. Variance decomposition (price/volume/mix analysis) and scenario simulations all use Decimal arithmetic. Explanations reference the same numbers produced by the calculation engine. No cases found where an explanation cites a number not backed by computation.</w:t>
      </w:r>
    </w:p>
    <w:p>
      <w:pPr>
        <w:spacing w:after="200"/>
      </w:pPr>
    </w:p>
    <w:p>
      <w:r>
        <w:br w:type="page"/>
      </w:r>
    </w:p>
    <w:p>
      <w:pPr>
        <w:pStyle w:val="Heading1"/>
      </w:pPr>
      <w:r>
        <w:rPr>
          <w:rFonts w:ascii="Arial" w:cs="Arial" w:eastAsia="Arial" w:hAnsi="Arial"/>
        </w:rPr>
        <w:t xml:space="preserve">5. Data Authenticity &amp; Contamination</w:t>
      </w:r>
    </w:p>
    <w:p>
      <w:pPr>
        <w:pStyle w:val="Heading2"/>
      </w:pPr>
      <w:r>
        <w:rPr>
          <w:rFonts w:ascii="Arial" w:cs="Arial" w:eastAsia="Arial" w:hAnsi="Arial"/>
        </w:rPr>
        <w:t xml:space="preserve">5A. Seed Data</w:t>
      </w:r>
    </w:p>
    <w:p>
      <w:pPr>
        <w:spacing w:after="120" w:line="276"/>
      </w:pPr>
      <w:r>
        <w:rPr>
          <w:rFonts w:ascii="Arial" w:cs="Arial" w:eastAsia="Arial" w:hAnsi="Arial"/>
          <w:color w:val="334155"/>
          <w:sz w:val="20"/>
          <w:szCs w:val="20"/>
        </w:rPr>
        <w:t xml:space="preserve">seed_data.py populates the database on startup with 335+ hardcoded demo transactions for SOCAR Energy Georgia. This includes revenue items, cost entries, budget lines, and department allocations. Once seeded, these records are indistinguishable from real uploaded data in the database. There is no data_source flag to differentiate seed records from user-uploaded records.</w:t>
      </w:r>
    </w:p>
    <w:p>
      <w:pPr>
        <w:spacing w:after="100"/>
      </w:pPr>
    </w:p>
    <w:p>
      <w:pPr>
        <w:pStyle w:val="Heading2"/>
      </w:pPr>
      <w:r>
        <w:rPr>
          <w:rFonts w:ascii="Arial" w:cs="Arial" w:eastAsia="Arial" w:hAnsi="Arial"/>
        </w:rPr>
        <w:t xml:space="preserve">5B. Hardcoded Modules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460"/>
        <w:gridCol w:w="346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34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Hardcoded Content</w:t>
            </w:r>
          </w:p>
        </w:tc>
        <w:tc>
          <w:tcPr>
            <w:tcW w:type="dxa" w:w="34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ESG Engine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12.5% emissions, 18% renewables, 78.3 composite score</w:t>
            </w:r>
          </w:p>
        </w:tc>
        <w:tc>
          <w:tcPr>
            <w:tcW w:type="dxa" w:w="3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ENTIRELY FAKE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Cash Runway Email</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$1M cash balance, $150K monthly burn</w:t>
            </w:r>
          </w:p>
        </w:tc>
        <w:tc>
          <w:tcPr>
            <w:tcW w:type="dxa" w:w="3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HARDCODED PLACEHOLDER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Consolidation</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Hardcoded subsidiary list</w:t>
            </w:r>
          </w:p>
        </w:tc>
        <w:tc>
          <w:tcPr>
            <w:tcW w:type="dxa" w:w="3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DEMO ONLY</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Subledger Seed</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Demo AR/AP transactions</w:t>
            </w:r>
          </w:p>
        </w:tc>
        <w:tc>
          <w:tcPr>
            <w:tcW w:type="dxa" w:w="3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DEMO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Currency Fallback</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Hardcoded FX rates when API unavailable</w:t>
            </w:r>
          </w:p>
        </w:tc>
        <w:tc>
          <w:tcPr>
            <w:tcW w:type="dxa" w:w="346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854D0E"/>
                <w:sz w:val="18"/>
                <w:szCs w:val="18"/>
              </w:rPr>
              <w:t xml:space="preserve">ACCEPTABLE FALLBACK</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Frontend PL_SEED</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Full 19-line P&amp;L for SOCAR with 3 periods</w:t>
            </w:r>
          </w:p>
        </w:tc>
        <w:tc>
          <w:tcPr>
            <w:tcW w:type="dxa" w:w="3460"/>
            <w:tcBorders>
              <w:top w:val="single" w:color="CCCCCC" w:sz="1"/>
              <w:left w:val="single" w:color="CCCCCC" w:sz="1"/>
              <w:bottom w:val="single" w:color="CCCCCC" w:sz="1"/>
              <w:right w:val="single" w:color="CCCCCC" w:sz="1"/>
            </w:tcBorders>
            <w:shd w:fill="FED7AA"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SILENT FALLBACK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Warehouse Synthetic</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random.seed(42) with 3% noise for history</w:t>
            </w:r>
          </w:p>
        </w:tc>
        <w:tc>
          <w:tcPr>
            <w:tcW w:type="dxa" w:w="3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NON-DETERMINISTIC</w:t>
            </w:r>
          </w:p>
        </w:tc>
      </w:tr>
    </w:tbl>
    <w:p>
      <w:pPr>
        <w:spacing w:after="200"/>
      </w:pPr>
    </w:p>
    <w:p>
      <w:r>
        <w:br w:type="page"/>
      </w:r>
    </w:p>
    <w:p>
      <w:pPr>
        <w:pStyle w:val="Heading1"/>
      </w:pPr>
      <w:r>
        <w:rPr>
          <w:rFonts w:ascii="Arial" w:cs="Arial" w:eastAsia="Arial" w:hAnsi="Arial"/>
        </w:rPr>
        <w:t xml:space="preserve">6. End-to-End Data Flow Trace</w:t>
      </w:r>
    </w:p>
    <w:p>
      <w:pPr>
        <w:pStyle w:val="Heading2"/>
      </w:pPr>
      <w:r>
        <w:rPr>
          <w:rFonts w:ascii="Arial" w:cs="Arial" w:eastAsia="Arial" w:hAnsi="Arial"/>
        </w:rPr>
        <w:t xml:space="preserve">Upload → Analysis Flow</w:t>
      </w:r>
    </w:p>
    <w:p>
      <w:pPr>
        <w:spacing w:after="120" w:line="276"/>
      </w:pPr>
      <w:r>
        <w:rPr>
          <w:rFonts w:ascii="Arial" w:cs="Arial" w:eastAsia="Arial" w:hAnsi="Arial"/>
          <w:color w:val="334155"/>
          <w:sz w:val="20"/>
          <w:szCs w:val="20"/>
        </w:rPr>
        <w:t xml:space="preserve">1. User selects Excel file → Frontend sends to /api/agent/agents/smart-upload (POST multipart)</w:t>
      </w:r>
    </w:p>
    <w:p>
      <w:pPr>
        <w:spacing w:after="120" w:line="276"/>
      </w:pPr>
      <w:r>
        <w:rPr>
          <w:rFonts w:ascii="Arial" w:cs="Arial" w:eastAsia="Arial" w:hAnsi="Arial"/>
          <w:color w:val="334155"/>
          <w:sz w:val="20"/>
          <w:szCs w:val="20"/>
        </w:rPr>
        <w:t xml:space="preserve">2. Backend receives raw bytes → SmartExcelParser loads workbook via openpyxl.load_workbook(io.BytesIO(content))</w:t>
      </w:r>
    </w:p>
    <w:p>
      <w:pPr>
        <w:spacing w:after="120" w:line="276"/>
      </w:pPr>
      <w:r>
        <w:rPr>
          <w:rFonts w:ascii="Arial" w:cs="Arial" w:eastAsia="Arial" w:hAnsi="Arial"/>
          <w:color w:val="334155"/>
          <w:sz w:val="20"/>
          <w:szCs w:val="20"/>
        </w:rPr>
        <w:t xml:space="preserve">3. Parser auto-detects header rows via keyword scoring → fuzzy-matches columns to canonical financial fields (3-tier: exact, contains, token overlap)</w:t>
      </w:r>
    </w:p>
    <w:p>
      <w:pPr>
        <w:spacing w:after="120" w:line="276"/>
      </w:pPr>
      <w:r>
        <w:rPr>
          <w:rFonts w:ascii="Arial" w:cs="Arial" w:eastAsia="Arial" w:hAnsi="Arial"/>
          <w:color w:val="334155"/>
          <w:sz w:val="20"/>
          <w:szCs w:val="20"/>
        </w:rPr>
        <w:t xml:space="preserve">4. Numeric values extracted directly from cells, converted to float → Structured as RevenueItem, CostItem, BudgetItem models</w:t>
      </w:r>
    </w:p>
    <w:p>
      <w:pPr>
        <w:spacing w:after="120" w:line="276"/>
      </w:pPr>
      <w:r>
        <w:rPr>
          <w:rFonts w:ascii="Arial" w:cs="Arial" w:eastAsia="Arial" w:hAnsi="Arial"/>
          <w:color w:val="334155"/>
          <w:sz w:val="20"/>
          <w:szCs w:val="20"/>
        </w:rPr>
        <w:t xml:space="preserve">5. Records saved to SQLite database with source_file tracking → Dataset activated</w:t>
      </w:r>
    </w:p>
    <w:p>
      <w:pPr>
        <w:spacing w:after="120" w:line="276"/>
      </w:pPr>
      <w:r>
        <w:rPr>
          <w:rFonts w:ascii="Arial" w:cs="Arial" w:eastAsia="Arial" w:hAnsi="Arial"/>
          <w:color w:val="334155"/>
          <w:sz w:val="20"/>
          <w:szCs w:val="20"/>
        </w:rPr>
        <w:t xml:space="preserve">6. Dashboard fetches /api/agent/agents/dashboard → Backend queries DB for active dataset → Runs Decimal calculation pipeline → Returns KPIs</w:t>
      </w:r>
    </w:p>
    <w:p>
      <w:pPr>
        <w:spacing w:after="120" w:line="276"/>
      </w:pPr>
      <w:r>
        <w:rPr>
          <w:rFonts w:ascii="Arial" w:cs="Arial" w:eastAsia="Arial" w:hAnsi="Arial"/>
          <w:color w:val="334155"/>
          <w:sz w:val="20"/>
          <w:szCs w:val="20"/>
        </w:rPr>
        <w:t xml:space="preserve">7. Frontend renders KPI cards from API response. If API fails, falls back to local/hardcoded data.</w:t>
      </w:r>
    </w:p>
    <w:p>
      <w:pPr>
        <w:spacing w:after="100"/>
      </w:pPr>
    </w:p>
    <w:p>
      <w:pPr>
        <w:pStyle w:val="Heading2"/>
      </w:pPr>
      <w:r>
        <w:rPr>
          <w:rFonts w:ascii="Arial" w:cs="Arial" w:eastAsia="Arial" w:hAnsi="Arial"/>
        </w:rPr>
        <w:t xml:space="preserve">Chat → AI Analysis Flow</w:t>
      </w:r>
    </w:p>
    <w:p>
      <w:pPr>
        <w:spacing w:after="120" w:line="276"/>
      </w:pPr>
      <w:r>
        <w:rPr>
          <w:rFonts w:ascii="Arial" w:cs="Arial" w:eastAsia="Arial" w:hAnsi="Arial"/>
          <w:color w:val="334155"/>
          <w:sz w:val="20"/>
          <w:szCs w:val="20"/>
        </w:rPr>
        <w:t xml:space="preserve">1. User types question → WebSocket sends to /ws/chat</w:t>
      </w:r>
    </w:p>
    <w:p>
      <w:pPr>
        <w:spacing w:after="120" w:line="276"/>
      </w:pPr>
      <w:r>
        <w:rPr>
          <w:rFonts w:ascii="Arial" w:cs="Arial" w:eastAsia="Arial" w:hAnsi="Arial"/>
          <w:color w:val="334155"/>
          <w:sz w:val="20"/>
          <w:szCs w:val="20"/>
        </w:rPr>
        <w:t xml:space="preserve">2. Supervisor routes to specialized agent (CalcAgent, InsightAgent, ReportAgent) based on TOOL_ROUTING map</w:t>
      </w:r>
    </w:p>
    <w:p>
      <w:pPr>
        <w:spacing w:after="120" w:line="276"/>
      </w:pPr>
      <w:r>
        <w:rPr>
          <w:rFonts w:ascii="Arial" w:cs="Arial" w:eastAsia="Arial" w:hAnsi="Arial"/>
          <w:color w:val="334155"/>
          <w:sz w:val="20"/>
          <w:szCs w:val="20"/>
        </w:rPr>
        <w:t xml:space="preserve">3. Agent queries database: select(RevenueItem).where(dataset_id == active_id)</w:t>
      </w:r>
    </w:p>
    <w:p>
      <w:pPr>
        <w:spacing w:after="120" w:line="276"/>
      </w:pPr>
      <w:r>
        <w:rPr>
          <w:rFonts w:ascii="Arial" w:cs="Arial" w:eastAsia="Arial" w:hAnsi="Arial"/>
          <w:color w:val="334155"/>
          <w:sz w:val="20"/>
          <w:szCs w:val="20"/>
        </w:rPr>
        <w:t xml:space="preserve">4. Real numbers embedded in Claude's context. System prompt mandates: never estimate or hallucinate figures</w:t>
      </w:r>
    </w:p>
    <w:p>
      <w:pPr>
        <w:spacing w:after="120" w:line="276"/>
      </w:pPr>
      <w:r>
        <w:rPr>
          <w:rFonts w:ascii="Arial" w:cs="Arial" w:eastAsia="Arial" w:hAnsi="Arial"/>
          <w:color w:val="334155"/>
          <w:sz w:val="20"/>
          <w:szCs w:val="20"/>
        </w:rPr>
        <w:t xml:space="preserve">5. Claude selects tools (e.g., generate_income_statement) → tools execute deterministic Decimal math</w:t>
      </w:r>
    </w:p>
    <w:p>
      <w:pPr>
        <w:spacing w:after="120" w:line="276"/>
      </w:pPr>
      <w:r>
        <w:rPr>
          <w:rFonts w:ascii="Arial" w:cs="Arial" w:eastAsia="Arial" w:hAnsi="Arial"/>
          <w:color w:val="334155"/>
          <w:sz w:val="20"/>
          <w:szCs w:val="20"/>
        </w:rPr>
        <w:t xml:space="preserve">6. Results streamed back token-by-token via WebSocket</w:t>
      </w:r>
    </w:p>
    <w:p>
      <w:pPr>
        <w:spacing w:after="200"/>
      </w:pPr>
    </w:p>
    <w:p>
      <w:r>
        <w:br w:type="page"/>
      </w:r>
    </w:p>
    <w:p>
      <w:pPr>
        <w:pStyle w:val="Heading1"/>
      </w:pPr>
      <w:r>
        <w:rPr>
          <w:rFonts w:ascii="Arial" w:cs="Arial" w:eastAsia="Arial" w:hAnsi="Arial"/>
        </w:rPr>
        <w:t xml:space="preserve">7. Critical Breakpoints</w:t>
      </w:r>
    </w:p>
    <w:p>
      <w:pPr>
        <w:spacing w:after="60"/>
      </w:pPr>
    </w:p>
    <w:p>
      <w:pPr>
        <w:spacing w:after="120" w:line="276"/>
      </w:pPr>
      <w:r>
        <w:rPr>
          <w:rFonts w:ascii="Arial" w:cs="Arial" w:eastAsia="Arial" w:hAnsi="Arial"/>
          <w:b/>
          <w:bCs/>
          <w:color w:val="1E293B"/>
          <w:sz w:val="20"/>
          <w:szCs w:val="20"/>
        </w:rPr>
        <w:t xml:space="preserve">1. Silent Fallback to Demo Data: </w:t>
      </w:r>
      <w:r>
        <w:rPr>
          <w:rFonts w:ascii="Arial" w:cs="Arial" w:eastAsia="Arial" w:hAnsi="Arial"/>
          <w:color w:val="334155"/>
          <w:sz w:val="20"/>
          <w:szCs w:val="20"/>
        </w:rPr>
        <w:t xml:space="preserve">When the backend is unreachable, the frontend degrades to PL_SEED and SEED_DATA without explicit user notification. This is the single most dangerous point where data becomes fake without anyone knowing.</w:t>
      </w:r>
    </w:p>
    <w:p>
      <w:pPr>
        <w:spacing w:after="80"/>
      </w:pPr>
    </w:p>
    <w:p>
      <w:pPr>
        <w:spacing w:after="120" w:line="276"/>
      </w:pPr>
      <w:r>
        <w:rPr>
          <w:rFonts w:ascii="Arial" w:cs="Arial" w:eastAsia="Arial" w:hAnsi="Arial"/>
          <w:b/>
          <w:bCs/>
          <w:color w:val="1E293B"/>
          <w:sz w:val="20"/>
          <w:szCs w:val="20"/>
        </w:rPr>
        <w:t xml:space="preserve">2. Seed Data Contamination: </w:t>
      </w:r>
      <w:r>
        <w:rPr>
          <w:rFonts w:ascii="Arial" w:cs="Arial" w:eastAsia="Arial" w:hAnsi="Arial"/>
          <w:color w:val="334155"/>
          <w:sz w:val="20"/>
          <w:szCs w:val="20"/>
        </w:rPr>
        <w:t xml:space="preserve">335+ demo records injected on every startup via seed_database(). No flag distinguishes these from real uploads. Production databases accumulate seed data alongside real data.</w:t>
      </w:r>
    </w:p>
    <w:p>
      <w:pPr>
        <w:spacing w:after="80"/>
      </w:pPr>
    </w:p>
    <w:p>
      <w:pPr>
        <w:spacing w:after="120" w:line="276"/>
      </w:pPr>
      <w:r>
        <w:rPr>
          <w:rFonts w:ascii="Arial" w:cs="Arial" w:eastAsia="Arial" w:hAnsi="Arial"/>
          <w:b/>
          <w:bCs/>
          <w:color w:val="1E293B"/>
          <w:sz w:val="20"/>
          <w:szCs w:val="20"/>
        </w:rPr>
        <w:t xml:space="preserve">3. Warehouse Synthetic History: </w:t>
      </w:r>
      <w:r>
        <w:rPr>
          <w:rFonts w:ascii="Arial" w:cs="Arial" w:eastAsia="Arial" w:hAnsi="Arial"/>
          <w:color w:val="334155"/>
          <w:sz w:val="20"/>
          <w:szCs w:val="20"/>
        </w:rPr>
        <w:t xml:space="preserve">generate_historical_periods() creates fake historical data with random noise. If triggered in production, all year-over-year comparisons are based on fabricated numbers.</w:t>
      </w:r>
    </w:p>
    <w:p>
      <w:pPr>
        <w:spacing w:after="80"/>
      </w:pPr>
    </w:p>
    <w:p>
      <w:pPr>
        <w:spacing w:after="120" w:line="276"/>
      </w:pPr>
      <w:r>
        <w:rPr>
          <w:rFonts w:ascii="Arial" w:cs="Arial" w:eastAsia="Arial" w:hAnsi="Arial"/>
          <w:b/>
          <w:bCs/>
          <w:color w:val="1E293B"/>
          <w:sz w:val="20"/>
          <w:szCs w:val="20"/>
        </w:rPr>
        <w:t xml:space="preserve">4. ESG Module: </w:t>
      </w:r>
      <w:r>
        <w:rPr>
          <w:rFonts w:ascii="Arial" w:cs="Arial" w:eastAsia="Arial" w:hAnsi="Arial"/>
          <w:color w:val="334155"/>
          <w:sz w:val="20"/>
          <w:szCs w:val="20"/>
        </w:rPr>
        <w:t xml:space="preserve">Entirely hardcoded. All sustainability metrics are static placeholders with no connection to real company data or calculations.</w:t>
      </w:r>
    </w:p>
    <w:p>
      <w:pPr>
        <w:spacing w:after="80"/>
      </w:pPr>
    </w:p>
    <w:p>
      <w:pPr>
        <w:spacing w:after="120" w:line="276"/>
      </w:pPr>
      <w:r>
        <w:rPr>
          <w:rFonts w:ascii="Arial" w:cs="Arial" w:eastAsia="Arial" w:hAnsi="Arial"/>
          <w:b/>
          <w:bCs/>
          <w:color w:val="1E293B"/>
          <w:sz w:val="20"/>
          <w:szCs w:val="20"/>
        </w:rPr>
        <w:t xml:space="preserve">5. Dual Computation Divergence: </w:t>
      </w:r>
      <w:r>
        <w:rPr>
          <w:rFonts w:ascii="Arial" w:cs="Arial" w:eastAsia="Arial" w:hAnsi="Arial"/>
          <w:color w:val="334155"/>
          <w:sz w:val="20"/>
          <w:szCs w:val="20"/>
        </w:rPr>
        <w:t xml:space="preserve">Frontend JavaScript and backend Python can compute the same metrics differently (floating-point vs Decimal). No reconciliation mechanism exists.</w:t>
      </w:r>
    </w:p>
    <w:p>
      <w:pPr>
        <w:spacing w:after="80"/>
      </w:pPr>
    </w:p>
    <w:p>
      <w:pPr>
        <w:spacing w:after="120" w:line="276"/>
      </w:pPr>
      <w:r>
        <w:rPr>
          <w:rFonts w:ascii="Arial" w:cs="Arial" w:eastAsia="Arial" w:hAnsi="Arial"/>
          <w:b/>
          <w:bCs/>
          <w:color w:val="1E293B"/>
          <w:sz w:val="20"/>
          <w:szCs w:val="20"/>
        </w:rPr>
        <w:t xml:space="preserve">6. Account Classification Uncertainty: </w:t>
      </w:r>
      <w:r>
        <w:rPr>
          <w:rFonts w:ascii="Arial" w:cs="Arial" w:eastAsia="Arial" w:hAnsi="Arial"/>
          <w:color w:val="334155"/>
          <w:sz w:val="20"/>
          <w:szCs w:val="20"/>
        </w:rPr>
        <w:t xml:space="preserve">Trial balance accounts classified at Tier 3-5 (50-85% confidence) can shift entire P&amp;L categories. The user approval workflow mitigates this but introduces non-reproducibility across sessions.</w:t>
      </w:r>
    </w:p>
    <w:p>
      <w:pPr>
        <w:spacing w:after="200"/>
      </w:pPr>
    </w:p>
    <w:p>
      <w:pPr>
        <w:pStyle w:val="Heading1"/>
      </w:pPr>
      <w:r>
        <w:rPr>
          <w:rFonts w:ascii="Arial" w:cs="Arial" w:eastAsia="Arial" w:hAnsi="Arial"/>
        </w:rPr>
        <w:t xml:space="preserve">8. Illusion Detection</w:t>
      </w:r>
    </w:p>
    <w:p>
      <w:pPr>
        <w:spacing w:after="120" w:line="276"/>
      </w:pPr>
      <w:r>
        <w:rPr>
          <w:rFonts w:ascii="Arial" w:cs="Arial" w:eastAsia="Arial" w:hAnsi="Arial"/>
          <w:color w:val="334155"/>
          <w:sz w:val="20"/>
          <w:szCs w:val="20"/>
        </w:rPr>
        <w:t xml:space="preserve">Components that LOOK real but are NOT:</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652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Illusion 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ESG Dashboard</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Professional-looking sustainability metrics. All numbers are hardcoded constants (12.5% emissions reduction, 78.3 composite score). Zero computation.</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Cash Runway Alerts</w:t>
            </w:r>
          </w:p>
        </w:tc>
        <w:tc>
          <w:tcPr>
            <w:tcW w:type="dxa" w:w="652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Emails sent with $1M cash / $150K burn rate. These are placeholder values not connected to any balance sheet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Historical Comparisons</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Year-over-year trend charts may use warehouse-generated synthetic history with 3% random noise, not real prior-period data.</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Consolidation Module</w:t>
            </w:r>
          </w:p>
        </w:tc>
        <w:tc>
          <w:tcPr>
            <w:tcW w:type="dxa" w:w="652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color w:val="334155"/>
                <w:sz w:val="18"/>
                <w:szCs w:val="18"/>
              </w:rPr>
              <w:t xml:space="preserve">Multi-entity view displays hardcoded subsidiary names. No real intercompany elimination engine.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Dashboard in Offline Mode</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4155"/>
                <w:sz w:val="18"/>
                <w:szCs w:val="18"/>
              </w:rPr>
              <w:t xml:space="preserve">Renders perfectly with KPI cards, charts, and alerts. All sourced from embedded SEED_DATA, not live computation. Indistinguishable from connected state.</w:t>
            </w:r>
          </w:p>
        </w:tc>
      </w:tr>
    </w:tbl>
    <w:p>
      <w:pPr>
        <w:spacing w:after="200"/>
      </w:pPr>
    </w:p>
    <w:p>
      <w:r>
        <w:br w:type="page"/>
      </w:r>
    </w:p>
    <w:p>
      <w:pPr>
        <w:pStyle w:val="Heading1"/>
      </w:pPr>
      <w:r>
        <w:rPr>
          <w:rFonts w:ascii="Arial" w:cs="Arial" w:eastAsia="Arial" w:hAnsi="Arial"/>
        </w:rPr>
        <w:t xml:space="preserve">9. Fix Priority</w:t>
      </w:r>
    </w:p>
    <w:p>
      <w:pPr>
        <w:pStyle w:val="Heading2"/>
      </w:pPr>
      <w:r>
        <w:rPr>
          <w:rFonts w:ascii="Arial" w:cs="Arial" w:eastAsia="Arial" w:hAnsi="Arial"/>
        </w:rPr>
        <w:t xml:space="preserve">Immediate (Must Fix Now)</w:t>
      </w:r>
    </w:p>
    <w:p>
      <w:pPr>
        <w:spacing w:after="120" w:line="276"/>
      </w:pPr>
      <w:r>
        <w:rPr>
          <w:rFonts w:ascii="Arial" w:cs="Arial" w:eastAsia="Arial" w:hAnsi="Arial"/>
          <w:b/>
          <w:bCs/>
          <w:color w:val="1E293B"/>
          <w:sz w:val="20"/>
          <w:szCs w:val="20"/>
        </w:rPr>
        <w:t xml:space="preserve">1. </w:t>
      </w:r>
      <w:r>
        <w:rPr>
          <w:rFonts w:ascii="Arial" w:cs="Arial" w:eastAsia="Arial" w:hAnsi="Arial"/>
          <w:color w:val="334155"/>
          <w:sz w:val="20"/>
          <w:szCs w:val="20"/>
        </w:rPr>
        <w:t xml:space="preserve">Add data_source field to all database records and API responses. Mark every value as 'real', 'seed', 'fallback', or 'synthetic'. Display source attribution in the UI.</w:t>
      </w:r>
    </w:p>
    <w:p>
      <w:pPr>
        <w:spacing w:after="120" w:line="276"/>
      </w:pPr>
      <w:r>
        <w:rPr>
          <w:rFonts w:ascii="Arial" w:cs="Arial" w:eastAsia="Arial" w:hAnsi="Arial"/>
          <w:b/>
          <w:bCs/>
          <w:color w:val="1E293B"/>
          <w:sz w:val="20"/>
          <w:szCs w:val="20"/>
        </w:rPr>
        <w:t xml:space="preserve">2. </w:t>
      </w:r>
      <w:r>
        <w:rPr>
          <w:rFonts w:ascii="Arial" w:cs="Arial" w:eastAsia="Arial" w:hAnsi="Arial"/>
          <w:color w:val="334155"/>
          <w:sz w:val="20"/>
          <w:szCs w:val="20"/>
        </w:rPr>
        <w:t xml:space="preserve">Add visible banner/indicator when frontend is operating in fallback mode. Users must know when they are seeing demo data vs real computations.</w:t>
      </w:r>
    </w:p>
    <w:p>
      <w:pPr>
        <w:spacing w:after="120" w:line="276"/>
      </w:pPr>
      <w:r>
        <w:rPr>
          <w:rFonts w:ascii="Arial" w:cs="Arial" w:eastAsia="Arial" w:hAnsi="Arial"/>
          <w:b/>
          <w:bCs/>
          <w:color w:val="1E293B"/>
          <w:sz w:val="20"/>
          <w:szCs w:val="20"/>
        </w:rPr>
        <w:t xml:space="preserve">3. </w:t>
      </w:r>
      <w:r>
        <w:rPr>
          <w:rFonts w:ascii="Arial" w:cs="Arial" w:eastAsia="Arial" w:hAnsi="Arial"/>
          <w:color w:val="334155"/>
          <w:sz w:val="20"/>
          <w:szCs w:val="20"/>
        </w:rPr>
        <w:t xml:space="preserve">Disable seed_database() in production environment. Gate behind APP_ENV=development check.</w:t>
      </w:r>
    </w:p>
    <w:p>
      <w:pPr>
        <w:spacing w:after="100"/>
      </w:pPr>
    </w:p>
    <w:p>
      <w:pPr>
        <w:pStyle w:val="Heading2"/>
      </w:pPr>
      <w:r>
        <w:rPr>
          <w:rFonts w:ascii="Arial" w:cs="Arial" w:eastAsia="Arial" w:hAnsi="Arial"/>
        </w:rPr>
        <w:t xml:space="preserve">Short-Term</w:t>
      </w:r>
    </w:p>
    <w:p>
      <w:pPr>
        <w:spacing w:after="120" w:line="276"/>
      </w:pPr>
      <w:r>
        <w:rPr>
          <w:rFonts w:ascii="Arial" w:cs="Arial" w:eastAsia="Arial" w:hAnsi="Arial"/>
          <w:b/>
          <w:bCs/>
          <w:color w:val="1E293B"/>
          <w:sz w:val="20"/>
          <w:szCs w:val="20"/>
        </w:rPr>
        <w:t xml:space="preserve">4. </w:t>
      </w:r>
      <w:r>
        <w:rPr>
          <w:rFonts w:ascii="Arial" w:cs="Arial" w:eastAsia="Arial" w:hAnsi="Arial"/>
          <w:color w:val="334155"/>
          <w:sz w:val="20"/>
          <w:szCs w:val="20"/>
        </w:rPr>
        <w:t xml:space="preserve">Remove or isolate warehouse.generate_historical_periods() from production code paths. Move to a test-only module.</w:t>
      </w:r>
    </w:p>
    <w:p>
      <w:pPr>
        <w:spacing w:after="120" w:line="276"/>
      </w:pPr>
      <w:r>
        <w:rPr>
          <w:rFonts w:ascii="Arial" w:cs="Arial" w:eastAsia="Arial" w:hAnsi="Arial"/>
          <w:b/>
          <w:bCs/>
          <w:color w:val="1E293B"/>
          <w:sz w:val="20"/>
          <w:szCs w:val="20"/>
        </w:rPr>
        <w:t xml:space="preserve">5. </w:t>
      </w:r>
      <w:r>
        <w:rPr>
          <w:rFonts w:ascii="Arial" w:cs="Arial" w:eastAsia="Arial" w:hAnsi="Arial"/>
          <w:color w:val="334155"/>
          <w:sz w:val="20"/>
          <w:szCs w:val="20"/>
        </w:rPr>
        <w:t xml:space="preserve">Replace ESG hardcoded values with actual computation pipeline or clearly mark the module as 'Coming Soon'.</w:t>
      </w:r>
    </w:p>
    <w:p>
      <w:pPr>
        <w:spacing w:after="120" w:line="276"/>
      </w:pPr>
      <w:r>
        <w:rPr>
          <w:rFonts w:ascii="Arial" w:cs="Arial" w:eastAsia="Arial" w:hAnsi="Arial"/>
          <w:b/>
          <w:bCs/>
          <w:color w:val="1E293B"/>
          <w:sz w:val="20"/>
          <w:szCs w:val="20"/>
        </w:rPr>
        <w:t xml:space="preserve">6. </w:t>
      </w:r>
      <w:r>
        <w:rPr>
          <w:rFonts w:ascii="Arial" w:cs="Arial" w:eastAsia="Arial" w:hAnsi="Arial"/>
          <w:color w:val="334155"/>
          <w:sz w:val="20"/>
          <w:szCs w:val="20"/>
        </w:rPr>
        <w:t xml:space="preserve">Implement cash runway calculation from actual balance sheet data instead of $1M placeholder.</w:t>
      </w:r>
    </w:p>
    <w:p>
      <w:pPr>
        <w:spacing w:after="120" w:line="276"/>
      </w:pPr>
      <w:r>
        <w:rPr>
          <w:rFonts w:ascii="Arial" w:cs="Arial" w:eastAsia="Arial" w:hAnsi="Arial"/>
          <w:b/>
          <w:bCs/>
          <w:color w:val="1E293B"/>
          <w:sz w:val="20"/>
          <w:szCs w:val="20"/>
        </w:rPr>
        <w:t xml:space="preserve">7. </w:t>
      </w:r>
      <w:r>
        <w:rPr>
          <w:rFonts w:ascii="Arial" w:cs="Arial" w:eastAsia="Arial" w:hAnsi="Arial"/>
          <w:color w:val="334155"/>
          <w:sz w:val="20"/>
          <w:szCs w:val="20"/>
        </w:rPr>
        <w:t xml:space="preserve">Add reconciliation check between frontend-computed and backend-computed metrics; flag divergence.</w:t>
      </w:r>
    </w:p>
    <w:p>
      <w:pPr>
        <w:spacing w:after="100"/>
      </w:pPr>
    </w:p>
    <w:p>
      <w:pPr>
        <w:pStyle w:val="Heading2"/>
      </w:pPr>
      <w:r>
        <w:rPr>
          <w:rFonts w:ascii="Arial" w:cs="Arial" w:eastAsia="Arial" w:hAnsi="Arial"/>
        </w:rPr>
        <w:t xml:space="preserve">Structural Fixes</w:t>
      </w:r>
    </w:p>
    <w:p>
      <w:pPr>
        <w:spacing w:after="120" w:line="276"/>
      </w:pPr>
      <w:r>
        <w:rPr>
          <w:rFonts w:ascii="Arial" w:cs="Arial" w:eastAsia="Arial" w:hAnsi="Arial"/>
          <w:b/>
          <w:bCs/>
          <w:color w:val="1E293B"/>
          <w:sz w:val="20"/>
          <w:szCs w:val="20"/>
        </w:rPr>
        <w:t xml:space="preserve">8. </w:t>
      </w:r>
      <w:r>
        <w:rPr>
          <w:rFonts w:ascii="Arial" w:cs="Arial" w:eastAsia="Arial" w:hAnsi="Arial"/>
          <w:color w:val="334155"/>
          <w:sz w:val="20"/>
          <w:szCs w:val="20"/>
        </w:rPr>
        <w:t xml:space="preserve">Implement calculation versioning and audit trail. Track which engine version produced each financial output.</w:t>
      </w:r>
    </w:p>
    <w:p>
      <w:pPr>
        <w:spacing w:after="120" w:line="276"/>
      </w:pPr>
      <w:r>
        <w:rPr>
          <w:rFonts w:ascii="Arial" w:cs="Arial" w:eastAsia="Arial" w:hAnsi="Arial"/>
          <w:b/>
          <w:bCs/>
          <w:color w:val="1E293B"/>
          <w:sz w:val="20"/>
          <w:szCs w:val="20"/>
        </w:rPr>
        <w:t xml:space="preserve">9. </w:t>
      </w:r>
      <w:r>
        <w:rPr>
          <w:rFonts w:ascii="Arial" w:cs="Arial" w:eastAsia="Arial" w:hAnsi="Arial"/>
          <w:color w:val="334155"/>
          <w:sz w:val="20"/>
          <w:szCs w:val="20"/>
        </w:rPr>
        <w:t xml:space="preserve">Create separate demo namespace so seed/demo data never coexists with production data in the same database tables.</w:t>
      </w:r>
    </w:p>
    <w:p>
      <w:pPr>
        <w:spacing w:after="120" w:line="276"/>
      </w:pPr>
      <w:r>
        <w:rPr>
          <w:rFonts w:ascii="Arial" w:cs="Arial" w:eastAsia="Arial" w:hAnsi="Arial"/>
          <w:b/>
          <w:bCs/>
          <w:color w:val="1E293B"/>
          <w:sz w:val="20"/>
          <w:szCs w:val="20"/>
        </w:rPr>
        <w:t xml:space="preserve">10. </w:t>
      </w:r>
      <w:r>
        <w:rPr>
          <w:rFonts w:ascii="Arial" w:cs="Arial" w:eastAsia="Arial" w:hAnsi="Arial"/>
          <w:color w:val="334155"/>
          <w:sz w:val="20"/>
          <w:szCs w:val="20"/>
        </w:rPr>
        <w:t xml:space="preserve">Add end-to-end integration tests that verify: upload → parse → store → compute → render with known test files and expected outputs.</w:t>
      </w:r>
    </w:p>
    <w:p>
      <w:pPr>
        <w:spacing w:after="200"/>
      </w:pPr>
    </w:p>
    <w:p>
      <w:pPr>
        <w:pStyle w:val="Heading1"/>
      </w:pPr>
      <w:r>
        <w:rPr>
          <w:rFonts w:ascii="Arial" w:cs="Arial" w:eastAsia="Arial" w:hAnsi="Arial"/>
        </w:rPr>
        <w:t xml:space="preserve">10. Audit Methodology</w:t>
      </w:r>
    </w:p>
    <w:p>
      <w:pPr>
        <w:spacing w:after="120" w:line="276"/>
      </w:pPr>
      <w:r>
        <w:rPr>
          <w:rFonts w:ascii="Arial" w:cs="Arial" w:eastAsia="Arial" w:hAnsi="Arial"/>
          <w:color w:val="334155"/>
          <w:sz w:val="20"/>
          <w:szCs w:val="20"/>
        </w:rPr>
        <w:t xml:space="preserve">This audit was conducted through static code analysis of the complete FinAI codebase. The following components were examined: main.py (FastAPI entry point), 32 router files, 140+ service modules, 8 agent modules, the monolithic frontend HTML (~480KB), database models, middleware, and configuration files. Every API endpoint was traced from frontend fetch() call through router handler to backend service computation. Financial formulas were verified against standard accounting waterfall logic. Data sources were classified as real (database-queried, API-fetched), computed (deterministic code), or fake (hardcoded, seeded, synthetic).</w:t>
      </w:r>
    </w:p>
    <w:p>
      <w:pPr>
        <w:spacing w:after="2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jc w:val="right"/>
    </w:pPr>
    <w:r>
      <w:rPr>
        <w:rFonts w:ascii="Arial" w:cs="Arial" w:eastAsia="Arial" w:hAnsi="Arial"/>
        <w:i/>
        <w:iCs/>
        <w:color w:val="94A3B8"/>
        <w:sz w:val="16"/>
        <w:szCs w:val="16"/>
      </w:rPr>
      <w:t xml:space="preserve">NYX CORE — Forensic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2026-04-06T19:33:03.011Z</dcterms:created>
  <dcterms:modified xsi:type="dcterms:W3CDTF">2026-04-06T19:33:03.013Z</dcterms:modified>
</cp:coreProperties>
</file>

<file path=docProps/custom.xml><?xml version="1.0" encoding="utf-8"?>
<Properties xmlns="http://schemas.openxmlformats.org/officeDocument/2006/custom-properties" xmlns:vt="http://schemas.openxmlformats.org/officeDocument/2006/docPropsVTypes"/>
</file>