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1E2761"/>
          <w:sz w:val="72"/>
          <w:szCs w:val="72"/>
        </w:rPr>
        <w:t xml:space="preserve">NYX CORE</w:t>
      </w:r>
    </w:p>
    <w:p>
      <w:pPr>
        <w:spacing w:after="100"/>
        <w:jc w:val="center"/>
      </w:pPr>
      <w:r>
        <w:rPr>
          <w:rFonts w:ascii="Georgia" w:cs="Georgia" w:eastAsia="Georgia" w:hAnsi="Georgia"/>
          <w:color w:val="1E2761"/>
          <w:sz w:val="40"/>
          <w:szCs w:val="40"/>
        </w:rPr>
        <w:t xml:space="preserve">Comprehensive Project Audit</w:t>
      </w:r>
    </w:p>
    <w:p>
      <w:pPr>
        <w:spacing w:after="60"/>
        <w:jc w:val="center"/>
      </w:pPr>
      <w:r>
        <w:rPr>
          <w:rFonts w:ascii="Georgia" w:cs="Georgia" w:eastAsia="Georgia" w:hAnsi="Georgia"/>
          <w:color w:val="1E2761"/>
          <w:sz w:val="40"/>
          <w:szCs w:val="40"/>
        </w:rPr>
        <w:t xml:space="preserve">&amp; Investment Risk Assessment</w:t>
      </w:r>
    </w:p>
    <w:p>
      <w:pPr>
        <w:spacing w:before="600"/>
        <w:jc w:val="center"/>
      </w:pPr>
      <w:r>
        <w:rPr>
          <w:color w:val="CADCFC"/>
          <w:sz w:val="22"/>
          <w:szCs w:val="22"/>
        </w:rPr>
        <w:t xml:space="preserve">_______________________________________________</w:t>
      </w:r>
    </w:p>
    <w:p>
      <w:pPr>
        <w:spacing w:after="100" w:before="400"/>
        <w:jc w:val="center"/>
      </w:pPr>
      <w:r>
        <w:rPr>
          <w:rFonts w:ascii="Calibri" w:cs="Calibri" w:eastAsia="Calibri" w:hAnsi="Calibri"/>
          <w:i/>
          <w:iCs/>
          <w:color w:val="666666"/>
          <w:sz w:val="24"/>
          <w:szCs w:val="24"/>
        </w:rPr>
        <w:t xml:space="preserve">Multi-Disciplinary Expert Panel Review</w:t>
      </w:r>
    </w:p>
    <w:p>
      <w:pPr>
        <w:spacing w:after="60"/>
        <w:jc w:val="center"/>
      </w:pPr>
      <w:r>
        <w:rPr>
          <w:rFonts w:ascii="Calibri" w:cs="Calibri" w:eastAsia="Calibri" w:hAnsi="Calibri"/>
          <w:color w:val="666666"/>
          <w:sz w:val="20"/>
          <w:szCs w:val="20"/>
        </w:rPr>
        <w:t xml:space="preserve">Tier-1 Tech Auditor (CTO) | FinTech Venture Capitalist | Enterprise Product Strategist</w:t>
      </w:r>
    </w:p>
    <w:p>
      <w:pPr>
        <w:spacing w:before="600"/>
        <w:jc w:val="center"/>
      </w:pPr>
      <w:r>
        <w:rPr>
          <w:rFonts w:ascii="Calibri" w:cs="Calibri" w:eastAsia="Calibri" w:hAnsi="Calibri"/>
          <w:color w:val="333333"/>
          <w:sz w:val="22"/>
          <w:szCs w:val="22"/>
        </w:rPr>
        <w:t xml:space="preserve">Prepared: April 12, 2026</w:t>
      </w:r>
    </w:p>
    <w:p>
      <w:pPr>
        <w:spacing w:after="100"/>
        <w:jc w:val="center"/>
      </w:pPr>
      <w:r>
        <w:rPr>
          <w:rFonts w:ascii="Calibri" w:cs="Calibri" w:eastAsia="Calibri" w:hAnsi="Calibri"/>
          <w:b/>
          <w:bCs/>
          <w:color w:val="C0392B"/>
          <w:sz w:val="20"/>
          <w:szCs w:val="20"/>
        </w:rPr>
        <w:t xml:space="preserve">Classification: CONFIDENTIAL — Pre-Investment Due Diligence</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Calibri" w:cs="Calibri" w:eastAsia="Calibri" w:hAnsi="Calibri"/>
          <w:color w:val="333333"/>
          <w:sz w:val="22"/>
          <w:szCs w:val="22"/>
        </w:rPr>
        <w:t xml:space="preserve">This report presents a comprehensive audit of NYX Core, an AI-powered financial intelligence platform. The assessment was conducted by a multi-disciplinary panel applying the standards of a pre-Seed/Seed investment due diligence and enterprise deployment readiness review.</w:t>
      </w:r>
    </w:p>
    <w:p>
      <w:pPr>
        <w:spacing w:after="200"/>
      </w:pPr>
    </w:p>
    <w:p>
      <w:pPr>
        <w:pStyle w:val="Heading2"/>
      </w:pPr>
      <w:r>
        <w:t xml:space="preserve">Overall Assessment: CONDITIONAL PASS</w:t>
      </w:r>
    </w:p>
    <w:p>
      <w:pPr>
        <w:spacing w:after="120"/>
      </w:pPr>
      <w:r>
        <w:rPr>
          <w:rFonts w:ascii="Calibri" w:cs="Calibri" w:eastAsia="Calibri" w:hAnsi="Calibri"/>
          <w:color w:val="333333"/>
          <w:sz w:val="22"/>
          <w:szCs w:val="22"/>
        </w:rPr>
        <w:t xml:space="preserve">NYX Core demonstrates genuine technical ambition and domain expertise. The codebase is real, functional, and architecturally coherent—not vaporware. However, critical gaps in data isolation, mathematical precision, and production hardening must be addressed before institutional deployment or significant investment.</w:t>
      </w:r>
    </w:p>
    <w:p>
      <w:pPr>
        <w:spacing w:after="200"/>
      </w:pPr>
    </w:p>
    <w:p>
      <w:pPr>
        <w:pStyle w:val="Heading3"/>
      </w:pPr>
      <w:r>
        <w:t xml:space="preserve">Codebase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586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Finding</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Total Python Lines</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~296,000 (significantly exceeds the stated 50K)</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Python Source Files</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275 files across 12 modules</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API Endpoints</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484 registered route handlers</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Database Models</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50 SQLAlchemy ORM models</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Agent Count</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8 specialized agents + supervisor</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Knowledge Graph Entities</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500+ domain entities across 7 sources</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Test Files</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67 test files, ~275 test cases</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Alembic Migrations</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6 versioned schema migrations</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LLM Fallback Chain</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Claude → Grok → Mistral → Ollama → Template</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Deployment Targets</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Tauri desktop (NSIS), Docker, bare-metal</w:t>
            </w:r>
          </w:p>
        </w:tc>
      </w:tr>
    </w:tbl>
    <w:p>
      <w:pPr>
        <w:spacing w:after="200"/>
      </w:pPr>
    </w:p>
    <w:p>
      <w:r>
        <w:br w:type="page"/>
      </w:r>
    </w:p>
    <w:p>
      <w:pPr>
        <w:pStyle w:val="Heading1"/>
      </w:pPr>
      <w:r>
        <w:t xml:space="preserve">Section 1: The Solo-Build Paradox</w:t>
      </w:r>
    </w:p>
    <w:p>
      <w:pPr>
        <w:pStyle w:val="Heading2"/>
      </w:pPr>
      <w:r>
        <w:t xml:space="preserve">1.1 Scale of Achievement</w:t>
      </w:r>
    </w:p>
    <w:p>
      <w:pPr>
        <w:spacing w:after="120"/>
      </w:pPr>
      <w:r>
        <w:rPr>
          <w:rFonts w:ascii="Calibri" w:cs="Calibri" w:eastAsia="Calibri" w:hAnsi="Calibri"/>
          <w:color w:val="333333"/>
          <w:sz w:val="22"/>
          <w:szCs w:val="22"/>
        </w:rPr>
        <w:t xml:space="preserve">A solo developer producing ~296,000 lines of functional Python across 275 files, with 484 API endpoints, 50 database models, an 8-agent orchestration system, and a knowledge graph is objectively impressive. This is not boilerplate—the domain logic (Georgian accounting standards, IFRS mapping, 1C integration) demonstrates deep subject-matter expertise that cannot be generated by AI scaffolding alone.</w:t>
      </w:r>
    </w:p>
    <w:p>
      <w:pPr>
        <w:spacing w:after="200"/>
      </w:pPr>
    </w:p>
    <w:p>
      <w:pPr>
        <w:pStyle w:val="Heading2"/>
      </w:pPr>
      <w:r>
        <w:t xml:space="preserve">1.2 Maintainability Risk</w:t>
      </w:r>
    </w:p>
    <w:p>
      <w:pPr>
        <w:pStyle w:val="Heading3"/>
      </w:pPr>
      <w:r>
        <w:t xml:space="preserve">Code Complexity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586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Finding</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God Objects (&gt;2000 LOC)</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5 files: file_parser (3,310), ai_agent (2,977), analytics router (2,805), knowledge_graph (2,581), data_connectors (2,046)</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Broad Exception Catches</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876 instances of `except Exception`—masks bugs, makes debugging extremely difficult</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Bare Except Clauses</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6 instances—swallows all errors silently</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TODO/FIXME/HACK Markers</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18 acknowledged debt items</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DEPRECATED Code</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3 modules flagged as deprecated but still present (orchestrator_v3, warehouse raw SQL, dashboard fallback)</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Internal Cross-Imports</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1,293 intra-package imports—high coupling, circular dependency risk</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Binary Source Files</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2 router files (documents_router.py, external_data_router.py) are binary/corrupted</w:t>
            </w:r>
          </w:p>
        </w:tc>
      </w:tr>
    </w:tbl>
    <w:p>
      <w:pPr>
        <w:spacing w:after="200"/>
      </w:pPr>
    </w:p>
    <w:p>
      <w:pPr>
        <w:spacing w:after="120"/>
      </w:pPr>
      <w:r>
        <w:rPr>
          <w:rFonts w:ascii="Calibri" w:cs="Calibri" w:eastAsia="Calibri" w:hAnsi="Calibri"/>
          <w:color w:val="333333"/>
          <w:sz w:val="22"/>
          <w:szCs w:val="22"/>
        </w:rPr>
        <w:t xml:space="preserve">The 876 broad exception catches are the single biggest maintainability red flag. In a financial system, silently catching errors means incorrect calculations can propagate without detection. A new engineer joining this codebase would spend weeks understanding error flows before making safe changes.</w:t>
      </w:r>
    </w:p>
    <w:p>
      <w:pPr>
        <w:spacing w:after="200"/>
      </w:pPr>
    </w:p>
    <w:p>
      <w:pPr>
        <w:pStyle w:val="Heading2"/>
      </w:pPr>
      <w:r>
        <w:t xml:space="preserve">1.3 Bus Factor Assessment</w:t>
      </w:r>
    </w:p>
    <w:p>
      <w:pPr>
        <w:spacing w:after="120"/>
      </w:pPr>
      <w:r>
        <w:rPr>
          <w:rFonts w:ascii="Calibri" w:cs="Calibri" w:eastAsia="Calibri" w:hAnsi="Calibri"/>
          <w:b/>
          <w:bCs/>
          <w:color w:val="333333"/>
          <w:sz w:val="22"/>
          <w:szCs w:val="22"/>
        </w:rPr>
        <w:t xml:space="preserve">Rating: CRITICAL (Score: 1). </w:t>
      </w:r>
      <w:r>
        <w:rPr>
          <w:rFonts w:ascii="Calibri" w:cs="Calibri" w:eastAsia="Calibri" w:hAnsi="Calibri"/>
          <w:color w:val="333333"/>
          <w:sz w:val="22"/>
          <w:szCs w:val="22"/>
        </w:rPr>
        <w:t xml:space="preserve">There is exactly one person who understands this system end-to-end. No architectural documentation exists beyond inline comments. The knowledge graph’s 500+ entity definitions, the Georgian GAAP mapping logic, and the 7-stage pipeline’s interaction model exist only in the founder’s head.</w:t>
      </w:r>
    </w:p>
    <w:p>
      <w:pPr>
        <w:spacing w:after="200"/>
      </w:pPr>
    </w:p>
    <w:p>
      <w:pPr>
        <w:spacing w:after="120"/>
      </w:pPr>
      <w:r>
        <w:rPr>
          <w:rFonts w:ascii="Calibri" w:cs="Calibri" w:eastAsia="Calibri" w:hAnsi="Calibri"/>
          <w:color w:val="333333"/>
          <w:sz w:val="22"/>
          <w:szCs w:val="22"/>
        </w:rPr>
        <w:t xml:space="preserve">If the founder becomes unavailable for even 30 days, development effectively halts. An acqui-hire team would need 3–6 months to reach productive velocity. This is the highest-priority risk for any investor.</w:t>
      </w:r>
    </w:p>
    <w:p>
      <w:pPr>
        <w:spacing w:after="200"/>
      </w:pPr>
    </w:p>
    <w:p>
      <w:pPr>
        <w:pStyle w:val="Heading2"/>
      </w:pPr>
      <w:r>
        <w:t xml:space="preserve">1.4 Solo-Dev to Enterprise Tech Lead</w:t>
      </w:r>
    </w:p>
    <w:p>
      <w:pPr>
        <w:spacing w:after="120"/>
      </w:pPr>
      <w:r>
        <w:rPr>
          <w:rFonts w:ascii="Calibri" w:cs="Calibri" w:eastAsia="Calibri" w:hAnsi="Calibri"/>
          <w:color w:val="333333"/>
          <w:sz w:val="22"/>
          <w:szCs w:val="22"/>
        </w:rPr>
        <w:t xml:space="preserve">The pitch deck presents a team with Goldman Sachs, DeepMind, and Stripe credentials. The actual entity is a sole proprietorship in Tbilisi. This is not disqualifying for a Seed round, but the gap between the deck’s narrative and reality must be addressed transparently. Investors will discover this during diligence. The recommended path: hire a senior backend engineer as the first employee (not a co-founder), establish code review practices, and create architectural decision records (ADRs) for every major subsystem.</w:t>
      </w:r>
    </w:p>
    <w:p>
      <w:r>
        <w:br w:type="page"/>
      </w:r>
    </w:p>
    <w:p>
      <w:pPr>
        <w:pStyle w:val="Heading1"/>
      </w:pPr>
      <w:r>
        <w:t xml:space="preserve">Section 2: Product-Market Gap Analysis</w:t>
      </w:r>
    </w:p>
    <w:p>
      <w:pPr>
        <w:pStyle w:val="Heading2"/>
      </w:pPr>
      <w:r>
        <w:t xml:space="preserve">2.1 The 1C/Adapter Problem</w:t>
      </w:r>
    </w:p>
    <w:p>
      <w:pPr>
        <w:pStyle w:val="Heading3"/>
      </w:pPr>
      <w:r>
        <w:t xml:space="preserve">Current State</w:t>
      </w:r>
    </w:p>
    <w:p>
      <w:pPr>
        <w:spacing w:after="120"/>
      </w:pPr>
      <w:r>
        <w:rPr>
          <w:rFonts w:ascii="Calibri" w:cs="Calibri" w:eastAsia="Calibri" w:hAnsi="Calibri"/>
          <w:color w:val="333333"/>
          <w:sz w:val="22"/>
          <w:szCs w:val="22"/>
        </w:rPr>
        <w:t xml:space="preserve">The adapter architecture is structurally sound: a BaseERPAdapter abstract class with detect(), parse_chart_of_accounts(), parse_transactions(), and map_to_ifrs() methods, plus a registry pattern for runtime discovery. However, only the 1C adapter (166 lines) is implemented. No QuickBooks, SAP Business One, Xero, or generic CSV adapter exists despite the modular architecture suggesting otherwise.</w:t>
      </w:r>
    </w:p>
    <w:p>
      <w:pPr>
        <w:spacing w:after="200"/>
      </w:pPr>
    </w:p>
    <w:p>
      <w:pPr>
        <w:pStyle w:val="Heading3"/>
      </w:pPr>
      <w:r>
        <w:t xml:space="preserve">Viability of 2–3 Weeks Per Industry</w:t>
      </w:r>
    </w:p>
    <w:p>
      <w:pPr>
        <w:spacing w:after="120"/>
      </w:pPr>
      <w:r>
        <w:rPr>
          <w:rFonts w:ascii="Calibri" w:cs="Calibri" w:eastAsia="Calibri" w:hAnsi="Calibri"/>
          <w:color w:val="333333"/>
          <w:sz w:val="22"/>
          <w:szCs w:val="22"/>
        </w:rPr>
        <w:t xml:space="preserve">This timeline is an oversimplification. The 1C adapter took significantly more than 2 weeks when accounting for the OneCInterpreter it wraps, the Georgian COA mapping (134 accounts), and the 44 subkonto dimension definitions. For a new ERP like QuickBooks, the realistic timeline is 6–8 weeks per adapter including: API authentication flows (OAuth2 for cloud ERPs), data schema mapping, edge case handling, and integration testing. For on-premise ERPs like SAP B1, add another 4 weeks for deployment environment complexity.</w:t>
      </w:r>
    </w:p>
    <w:p>
      <w:pPr>
        <w:spacing w:after="200"/>
      </w:pPr>
    </w:p>
    <w:p>
      <w:pPr>
        <w:pStyle w:val="Heading2"/>
      </w:pPr>
      <w:r>
        <w:t xml:space="preserve">2.2 Pricing Reality Check</w:t>
      </w:r>
    </w:p>
    <w:p>
      <w:pPr>
        <w:pStyle w:val="Heading3"/>
      </w:pPr>
      <w:r>
        <w:t xml:space="preserve">Deck Claims vs. Market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586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Finding</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Stated Pricing (Deck)</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$499/mo Starter, $1,999/mo Professional, Custom Enterprise</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Stated Target (Brief)</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$15K–$25K annual license for SMEs</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Georgian SME Context</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Average Georgian SME revenue: $50K–$500K/year; $15K is 3–30% of revenue</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CIS Market Benchmark</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1C Enterprise license: $2K–5K/year; local BI tools: $3K–8K/year</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Comparable SaaS (Global)</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Fathom: $480/yr; Jirav: $12K/yr; Mosaic: $24K/yr+</w:t>
            </w:r>
          </w:p>
        </w:tc>
      </w:tr>
    </w:tbl>
    <w:p>
      <w:pPr>
        <w:spacing w:after="200"/>
      </w:pPr>
    </w:p>
    <w:p>
      <w:pPr>
        <w:spacing w:after="120"/>
      </w:pPr>
      <w:r>
        <w:rPr>
          <w:rFonts w:ascii="Calibri" w:cs="Calibri" w:eastAsia="Calibri" w:hAnsi="Calibri"/>
          <w:color w:val="333333"/>
          <w:sz w:val="22"/>
          <w:szCs w:val="22"/>
        </w:rPr>
        <w:t xml:space="preserve">The $15K–$25K price point is viable only for the top 5–10% of Georgian/CIS SMEs with $2M+ revenue. For the broader Georgian market, a $3K–$5K entry tier is essential. The ROI simulation (Decision Intelligence) could justify the premium pricing, but only if it demonstrates measurable cost savings vs. hiring an additional accountant ($8K–12K/year in Georgia). The pitch should anchor on “replaces 1.5 FTE” rather than abstract “decision intelligence.”</w:t>
      </w:r>
    </w:p>
    <w:p>
      <w:r>
        <w:br w:type="page"/>
      </w:r>
    </w:p>
    <w:p>
      <w:pPr>
        <w:pStyle w:val="Heading1"/>
      </w:pPr>
      <w:r>
        <w:t xml:space="preserve">Section 3: Deep Architecture Stress-Test</w:t>
      </w:r>
    </w:p>
    <w:p>
      <w:pPr>
        <w:pStyle w:val="Heading2"/>
      </w:pPr>
      <w:r>
        <w:t xml:space="preserve">3.1 State Machine Reliability</w:t>
      </w:r>
    </w:p>
    <w:p>
      <w:pPr>
        <w:pStyle w:val="Heading3"/>
      </w:pPr>
      <w:r>
        <w:t xml:space="preserve">Pipeline Architecture</w:t>
      </w:r>
    </w:p>
    <w:p>
      <w:pPr>
        <w:spacing w:after="120"/>
      </w:pPr>
      <w:r>
        <w:rPr>
          <w:rFonts w:ascii="Calibri" w:cs="Calibri" w:eastAsia="Calibri" w:hAnsi="Calibri"/>
          <w:color w:val="333333"/>
          <w:sz w:val="22"/>
          <w:szCs w:val="22"/>
        </w:rPr>
        <w:t xml:space="preserve">The system runs a 10-node LangGraph pipeline: data_extractor → calculator → insight_engine → circuit_breaker_check → memory → orchestrator/reasoner → anomaly_detector → whatif_simulator → report_generator → alert.</w:t>
      </w:r>
    </w:p>
    <w:p>
      <w:pPr>
        <w:spacing w:after="200"/>
      </w:pPr>
    </w:p>
    <w:p>
      <w:pPr>
        <w:pStyle w:val="Heading3"/>
      </w:pPr>
      <w:r>
        <w:t xml:space="preserve">GAAP Violation Recovery (Stage 3)</w:t>
      </w:r>
    </w:p>
    <w:p>
      <w:pPr>
        <w:spacing w:after="120"/>
      </w:pPr>
      <w:r>
        <w:rPr>
          <w:rFonts w:ascii="Calibri" w:cs="Calibri" w:eastAsia="Calibri" w:hAnsi="Calibri"/>
          <w:color w:val="333333"/>
          <w:sz w:val="22"/>
          <w:szCs w:val="22"/>
        </w:rPr>
        <w:t xml:space="preserve">When the Reconstruct stage detects a GAAP axiom violation (e.g., balance sheet equation failure, COGS exceeding 150% of revenue), the circuit breaker records a WARNING but the pipeline continues. There is no retry logic, no rollback mechanism, and no compensation transactions. The circuit breaker only opens (halts pipeline) on three specific conditions: balance sheet equation failure, NaN/Inf in calculations, or critical reconstruction failure. All other violations produce warnings that flow downstream into the reasoner, which may or may not surface them in the final report.</w:t>
      </w:r>
    </w:p>
    <w:p>
      <w:pPr>
        <w:spacing w:after="200"/>
      </w:pPr>
    </w:p>
    <w:p>
      <w:pPr>
        <w:spacing w:after="120"/>
      </w:pPr>
      <w:r>
        <w:rPr>
          <w:rFonts w:ascii="Calibri" w:cs="Calibri" w:eastAsia="Calibri" w:hAnsi="Calibri"/>
          <w:b/>
          <w:bCs/>
          <w:color w:val="333333"/>
          <w:sz w:val="22"/>
          <w:szCs w:val="22"/>
        </w:rPr>
        <w:t xml:space="preserve">Verdict: </w:t>
      </w:r>
      <w:r>
        <w:rPr>
          <w:rFonts w:ascii="Calibri" w:cs="Calibri" w:eastAsia="Calibri" w:hAnsi="Calibri"/>
          <w:color w:val="333333"/>
          <w:sz w:val="22"/>
          <w:szCs w:val="22"/>
        </w:rPr>
        <w:t xml:space="preserve">For a financial intelligence system, this is insufficient. A GAAP violation in Stage 3 should trigger a structured recovery: flag the violation, attempt rule-based correction, and if correction fails, halt the pipeline and require human review. The current design risks producing reports that contain known accounting violations without prominent alerting.</w:t>
      </w:r>
    </w:p>
    <w:p>
      <w:pPr>
        <w:spacing w:after="200"/>
      </w:pPr>
    </w:p>
    <w:p>
      <w:pPr>
        <w:pStyle w:val="Heading2"/>
      </w:pPr>
      <w:r>
        <w:t xml:space="preserve">3.2 Hallucination Barrier Audit</w:t>
      </w:r>
    </w:p>
    <w:p>
      <w:pPr>
        <w:pStyle w:val="Heading3"/>
      </w:pPr>
      <w:r>
        <w:t xml:space="preserve">The Claim: LLMs Never Generate Numbers</w:t>
      </w:r>
    </w:p>
    <w:p>
      <w:pPr>
        <w:spacing w:after="120"/>
      </w:pPr>
      <w:r>
        <w:rPr>
          <w:rFonts w:ascii="Calibri" w:cs="Calibri" w:eastAsia="Calibri" w:hAnsi="Calibri"/>
          <w:color w:val="333333"/>
          <w:sz w:val="22"/>
          <w:szCs w:val="22"/>
        </w:rPr>
        <w:t xml:space="preserve">The architecture contract states: “LLM chain ONLY explains; all financial numbers computed with Python Decimal.” This is a strong design principle, but the implementation has two critical gaps:</w:t>
      </w:r>
    </w:p>
    <w:p>
      <w:pPr>
        <w:spacing w:after="200"/>
      </w:pPr>
    </w:p>
    <w:p>
      <w:pPr>
        <w:spacing w:after="120"/>
      </w:pPr>
      <w:r>
        <w:rPr>
          <w:rFonts w:ascii="Calibri" w:cs="Calibri" w:eastAsia="Calibri" w:hAnsi="Calibri"/>
          <w:b/>
          <w:bCs/>
          <w:color w:val="333333"/>
          <w:sz w:val="22"/>
          <w:szCs w:val="22"/>
        </w:rPr>
        <w:t xml:space="preserve">Gap 1: Float Arithmetic, Not Decimal. </w:t>
      </w:r>
      <w:r>
        <w:rPr>
          <w:rFonts w:ascii="Calibri" w:cs="Calibri" w:eastAsia="Calibri" w:hAnsi="Calibri"/>
          <w:color w:val="333333"/>
          <w:sz w:val="22"/>
          <w:szCs w:val="22"/>
        </w:rPr>
        <w:t xml:space="preserve">Despite the documented commitment to Python Decimal, the actual codebase uses Python float throughout. The _get() method in the financial reconstruction engine returns Optional[float], not Decimal. All ratio calculations, margin computations, and financial metrics use standard floating-point arithmetic. This means currency rounding errors will compound—a $10M transaction processed through 5 calculation stages could accumulate errors of $0.01–$1.00, which is unacceptable for audit-grade financial reporting.</w:t>
      </w:r>
    </w:p>
    <w:p>
      <w:pPr>
        <w:spacing w:after="200"/>
      </w:pPr>
    </w:p>
    <w:p>
      <w:pPr>
        <w:spacing w:after="120"/>
      </w:pPr>
      <w:r>
        <w:rPr>
          <w:rFonts w:ascii="Calibri" w:cs="Calibri" w:eastAsia="Calibri" w:hAnsi="Calibri"/>
          <w:b/>
          <w:bCs/>
          <w:color w:val="333333"/>
          <w:sz w:val="22"/>
          <w:szCs w:val="22"/>
        </w:rPr>
        <w:t xml:space="preserve">Gap 2: No Structural Guard Against LLM Number Injection. </w:t>
      </w:r>
      <w:r>
        <w:rPr>
          <w:rFonts w:ascii="Calibri" w:cs="Calibri" w:eastAsia="Calibri" w:hAnsi="Calibri"/>
          <w:color w:val="333333"/>
          <w:sz w:val="22"/>
          <w:szCs w:val="22"/>
        </w:rPr>
        <w:t xml:space="preserve">The separation between LLM narrative and deterministic calculation is enforced by convention (prompt instructions telling the LLM not to generate numbers), not by code. There is no output parser that strips or validates numeric content from LLM responses before they reach the report generator. If a model hallucinates a figure in its narrative (e.g., “revenue grew 47%” when the actual calculation shows 42%), no automated system catches the discrepancy.</w:t>
      </w:r>
    </w:p>
    <w:p>
      <w:pPr>
        <w:spacing w:after="200"/>
      </w:pPr>
    </w:p>
    <w:p>
      <w:pPr>
        <w:spacing w:after="120"/>
      </w:pPr>
      <w:r>
        <w:rPr>
          <w:rFonts w:ascii="Calibri" w:cs="Calibri" w:eastAsia="Calibri" w:hAnsi="Calibri"/>
          <w:b/>
          <w:bCs/>
          <w:color w:val="333333"/>
          <w:sz w:val="22"/>
          <w:szCs w:val="22"/>
        </w:rPr>
        <w:t xml:space="preserve">Risk Rating: HIGH. </w:t>
      </w:r>
      <w:r>
        <w:rPr>
          <w:rFonts w:ascii="Calibri" w:cs="Calibri" w:eastAsia="Calibri" w:hAnsi="Calibri"/>
          <w:color w:val="333333"/>
          <w:sz w:val="22"/>
          <w:szCs w:val="22"/>
        </w:rPr>
        <w:t xml:space="preserve">The combination of float math and behavioral-only LLM guards means the “Hallucination Barrier” is a design aspiration, not an implemented feature. Migration to Python Decimal and addition of a numeric validation layer on LLM outputs are prerequisites for enterprise deployment.</w:t>
      </w:r>
    </w:p>
    <w:p>
      <w:pPr>
        <w:spacing w:after="200"/>
      </w:pPr>
    </w:p>
    <w:p>
      <w:pPr>
        <w:pStyle w:val="Heading2"/>
      </w:pPr>
      <w:r>
        <w:t xml:space="preserve">3.3 Data Security &amp; Multi-Tenancy</w:t>
      </w:r>
    </w:p>
    <w:p>
      <w:pPr>
        <w:pStyle w:val="Heading3"/>
      </w:pPr>
      <w:r>
        <w:t xml:space="preserve">Current Implementation</w:t>
      </w:r>
    </w:p>
    <w:p>
      <w:pPr>
        <w:spacing w:after="120"/>
      </w:pPr>
      <w:r>
        <w:rPr>
          <w:rFonts w:ascii="Calibri" w:cs="Calibri" w:eastAsia="Calibri" w:hAnsi="Calibri"/>
          <w:color w:val="333333"/>
          <w:sz w:val="22"/>
          <w:szCs w:val="22"/>
        </w:rPr>
        <w:t xml:space="preserve">Multi-tenancy uses a ContextVar for tenant identification extracted from JWT tokens, passed through TenantMiddleware. However, the critical SQLAlchemy event listener that would auto-append WHERE company_id = ? filters to all queries is not implemented in database.py. The database layer shows only SQLite PRAGMA configuration. Data isolation relies entirely on application-level route logic—each router endpoint must manually filter by company.</w:t>
      </w:r>
    </w:p>
    <w:p>
      <w:pPr>
        <w:spacing w:after="200"/>
      </w:pPr>
    </w:p>
    <w:p>
      <w:pPr>
        <w:pStyle w:val="Heading3"/>
      </w:pPr>
      <w:r>
        <w:t xml:space="preserve">Enterprise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c>
          <w:tcPr>
            <w:tcW w:type="dxa" w:w="200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220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120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396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Recommendation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Row-Level Security</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Not implemented; relies on route-level filtering</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Implement SQLAlchemy event listener for automatic tenant filtering on all queries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Data Isolation</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Single shared database with no schema separation</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E67E22"/>
                <w:sz w:val="20"/>
                <w:szCs w:val="20"/>
              </w:rPr>
              <w:t xml:space="preserve">HIGH</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Add PostgreSQL Row-Level Security policies or separate schemas per tenant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Audit Trail</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 record of who accessed what data and when</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E67E22"/>
                <w:sz w:val="20"/>
                <w:szCs w:val="20"/>
              </w:rPr>
              <w:t xml:space="preserve">HIGH</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Implement comprehensive access logging with immutable audit trail</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Encryption at Rest</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 field-level encryption for sensitive financial data</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F39C12"/>
                <w:sz w:val="20"/>
                <w:szCs w:val="20"/>
              </w:rPr>
              <w:t xml:space="preserve">MEDIUM</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Add column-level encryption for PII and financial figures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API Key Management</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 API key system; JWT-only authentication</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F39C12"/>
                <w:sz w:val="20"/>
                <w:szCs w:val="20"/>
              </w:rPr>
              <w:t xml:space="preserve">MEDIUM</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Add API key generation, rotation, and scoping for programmatic access</w:t>
            </w:r>
          </w:p>
        </w:tc>
      </w:tr>
    </w:tbl>
    <w:p>
      <w:r>
        <w:br w:type="page"/>
      </w:r>
    </w:p>
    <w:p>
      <w:pPr>
        <w:pStyle w:val="Heading1"/>
      </w:pPr>
      <w:r>
        <w:t xml:space="preserve">Section 4: Go-To-Market &amp; Deployment</w:t>
      </w:r>
    </w:p>
    <w:p>
      <w:pPr>
        <w:pStyle w:val="Heading2"/>
      </w:pPr>
      <w:r>
        <w:t xml:space="preserve">4.1 Tauri Desktop vs. Cloud SaaS</w:t>
      </w:r>
    </w:p>
    <w:p>
      <w:pPr>
        <w:pStyle w:val="Heading3"/>
      </w:pPr>
      <w:r>
        <w:t xml:space="preserve">Current Architecture</w:t>
      </w:r>
    </w:p>
    <w:p>
      <w:pPr>
        <w:spacing w:after="120"/>
      </w:pPr>
      <w:r>
        <w:rPr>
          <w:rFonts w:ascii="Calibri" w:cs="Calibri" w:eastAsia="Calibri" w:hAnsi="Calibri"/>
          <w:color w:val="333333"/>
          <w:sz w:val="22"/>
          <w:szCs w:val="22"/>
        </w:rPr>
        <w:t xml:space="preserve">The codebase includes a Tauri desktop scaffold (NSIS installer for Windows) that bundles the Python backend as a sidecar binary. The frontend is served from a static HTML file (FinAI_Platform_v7.html) via a local FastAPI server on port 9200. The Tauri CSP configuration allows unsafe-inline and unsafe-eval, which is a security concern for desktop deployment.</w:t>
      </w:r>
    </w:p>
    <w:p>
      <w:pPr>
        <w:spacing w:after="200"/>
      </w:pPr>
    </w:p>
    <w:p>
      <w:pPr>
        <w:pStyle w:val="Heading3"/>
      </w:pPr>
      <w:r>
        <w:t xml:space="preserve">Deployment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586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Finding</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Tauri Desktop (Current)</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Viable for pilot/demo only. Single-user, no collaboration. Sidecar binary approach is fragile for updates. CSP allows unsafe-eval. No auto-update mechanism visible.</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Docker/Cloud SaaS</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Dockerfile exists and is well-structured (non-root user, layer caching). However, no Kubernetes manifests, no CI/CD pipeline, no health checks beyond basic /health endpoint. 2–4 weeks to production-ready.</w:t>
            </w:r>
          </w:p>
        </w:tc>
      </w:tr>
      <w:tr>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bCs/>
                <w:color w:val="333333"/>
                <w:sz w:val="20"/>
                <w:szCs w:val="20"/>
              </w:rPr>
              <w:t xml:space="preserve">On-Premise (Bank/Energy)</w:t>
            </w:r>
          </w:p>
        </w:tc>
        <w:tc>
          <w:tcPr>
            <w:tcW w:type="dxa" w:w="5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Not viable without significant work. No Helm charts, no air-gapped deployment guide, no LDAP/AD integration, no HSM support for key management. 3–6 month effort minimum.</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Hybrid (Recommended)</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Deploy core engine as Docker container with Traefik/Nginx reverse proxy. Desktop app connects as thick client. Achievable in 6–8 weeks.</w:t>
            </w:r>
          </w:p>
        </w:tc>
      </w:tr>
    </w:tbl>
    <w:p>
      <w:pPr>
        <w:spacing w:after="200"/>
      </w:pPr>
    </w:p>
    <w:p>
      <w:pPr>
        <w:pStyle w:val="Heading2"/>
      </w:pPr>
      <w:r>
        <w:t xml:space="preserve">4.2 Regulatory Compliance</w:t>
      </w:r>
    </w:p>
    <w:p>
      <w:pPr>
        <w:pStyle w:val="Heading3"/>
      </w:pPr>
      <w:r>
        <w:t xml:space="preserve">Knowledge Graph &amp; IFRS/Local GAAP</w:t>
      </w:r>
    </w:p>
    <w:p>
      <w:pPr>
        <w:spacing w:after="120"/>
      </w:pPr>
      <w:r>
        <w:rPr>
          <w:rFonts w:ascii="Calibri" w:cs="Calibri" w:eastAsia="Calibri" w:hAnsi="Calibri"/>
          <w:color w:val="333333"/>
          <w:sz w:val="22"/>
          <w:szCs w:val="22"/>
        </w:rPr>
        <w:t xml:space="preserve">The knowledge graph contains 134 Georgian Chart of Account entries, 9 account classification rules, and 44 1C subkonto dimension definitions. This is a solid foundation for Georgian accounting standards. However, the graph is built in-memory only—the database tables (KnowledgeEntityRecord, KnowledgeRelationRecord) exist in the schema but are not populated during the build() method. If the application restarts, the entire graph is rebuilt from hardcoded source data.</w:t>
      </w:r>
    </w:p>
    <w:p>
      <w:pPr>
        <w:spacing w:after="200"/>
      </w:pPr>
    </w:p>
    <w:p>
      <w:pPr>
        <w:pStyle w:val="Heading3"/>
      </w:pPr>
      <w:r>
        <w:t xml:space="preserve">Tax Law Adaptability</w:t>
      </w:r>
    </w:p>
    <w:p>
      <w:pPr>
        <w:spacing w:after="120"/>
      </w:pPr>
      <w:r>
        <w:rPr>
          <w:rFonts w:ascii="Calibri" w:cs="Calibri" w:eastAsia="Calibri" w:hAnsi="Calibri"/>
          <w:color w:val="333333"/>
          <w:sz w:val="22"/>
          <w:szCs w:val="22"/>
        </w:rPr>
        <w:t xml:space="preserve">Georgian tax law changes (VAT rate adjustments, new reporting requirements) would require code changes to the knowledge graph source definitions. There is no admin interface for updating tax rules, no versioning system for regulatory changes, and no audit trail of which rules were active for a given report. For a financial intelligence platform, this is a significant gap—auditors need to know which rules were applied to which reports.</w:t>
      </w:r>
    </w:p>
    <w:p>
      <w:pPr>
        <w:spacing w:after="200"/>
      </w:pPr>
    </w:p>
    <w:p>
      <w:pPr>
        <w:spacing w:after="120"/>
      </w:pPr>
      <w:r>
        <w:rPr>
          <w:rFonts w:ascii="Calibri" w:cs="Calibri" w:eastAsia="Calibri" w:hAnsi="Calibri"/>
          <w:b/>
          <w:bCs/>
          <w:color w:val="333333"/>
          <w:sz w:val="22"/>
          <w:szCs w:val="22"/>
        </w:rPr>
        <w:t xml:space="preserve">Recommendation: </w:t>
      </w:r>
      <w:r>
        <w:rPr>
          <w:rFonts w:ascii="Calibri" w:cs="Calibri" w:eastAsia="Calibri" w:hAnsi="Calibri"/>
          <w:color w:val="333333"/>
          <w:sz w:val="22"/>
          <w:szCs w:val="22"/>
        </w:rPr>
        <w:t xml:space="preserve">Build a versioned rule engine with effective dates. Each tax rule should have a valid_from/valid_to date range, and reports should reference the specific rule version applied. This is essential for IFRS compliance and audit trail requirements.</w:t>
      </w:r>
    </w:p>
    <w:p>
      <w:r>
        <w:br w:type="page"/>
      </w:r>
    </w:p>
    <w:p>
      <w:pPr>
        <w:pStyle w:val="Heading1"/>
      </w:pPr>
      <w:r>
        <w:t xml:space="preserve">Section 5: Final Verdict</w:t>
      </w:r>
    </w:p>
    <w:p>
      <w:pPr>
        <w:pStyle w:val="Heading2"/>
      </w:pPr>
      <w:r>
        <w:t xml:space="preserve">5.1 Technical Debt Map</w:t>
      </w:r>
    </w:p>
    <w:p>
      <w:pPr>
        <w:pStyle w:val="Heading3"/>
      </w:pPr>
      <w:r>
        <w:t xml:space="preserve">Where Debt Is Hiding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c>
          <w:tcPr>
            <w:tcW w:type="dxa" w:w="200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220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120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396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Recommendation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Float Arithmetic</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All financial calculations use Python float instead of Decimal</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Migrate to Decimal; existing migration file exists but execution unconfirmed</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Exception Swallowing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876 broad except Exception catches mask errors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Audit and narrow every catch clause; add structured error logging</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Multi-Tenancy Gap</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 row-level security; route-only data filtering</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Implement SQLAlchemy tenant filtering before any multi-tenant pilot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Deprecated Code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orchestrator_v3 deprecated but still imported; dual orchestration paths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E67E22"/>
                <w:sz w:val="20"/>
                <w:szCs w:val="20"/>
              </w:rPr>
              <w:t xml:space="preserve">HIGH</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Complete migration to LangGraph; remove v3 entirely</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Knowledge Graph Persistence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In-memory only; lost on restart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E67E22"/>
                <w:sz w:val="20"/>
                <w:szCs w:val="20"/>
              </w:rPr>
              <w:t xml:space="preserve">HIGH</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Implement graph persistence to DB; add versioning</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Binary Source Files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2 router files are corrupted/binary</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E67E22"/>
                <w:sz w:val="20"/>
                <w:szCs w:val="20"/>
              </w:rPr>
              <w:t xml:space="preserve">HIGH</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Regenerate from version control or rewrite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LLM Output Validation</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 numeric guard on LLM-generated narratives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F39C12"/>
                <w:sz w:val="20"/>
                <w:szCs w:val="20"/>
              </w:rPr>
              <w:t xml:space="preserve">MEDIUM</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Add output parser that validates narrative against calculated figures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Test Coverage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~40–50% estimated; no adapter or multi-tenant tests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F39C12"/>
                <w:sz w:val="20"/>
                <w:szCs w:val="20"/>
              </w:rPr>
              <w:t xml:space="preserve">MEDIUM</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Target 70%+ coverage on core financial logic</w:t>
            </w:r>
          </w:p>
        </w:tc>
      </w:tr>
    </w:tbl>
    <w:p>
      <w:pPr>
        <w:spacing w:after="200"/>
      </w:pPr>
    </w:p>
    <w:p>
      <w:pPr>
        <w:pStyle w:val="Heading2"/>
      </w:pPr>
      <w:r>
        <w:t xml:space="preserve">5.2 The One Missing Link</w:t>
      </w:r>
    </w:p>
    <w:p>
      <w:pPr>
        <w:spacing w:after="120"/>
      </w:pPr>
      <w:r>
        <w:rPr>
          <w:rFonts w:ascii="Calibri" w:cs="Calibri" w:eastAsia="Calibri" w:hAnsi="Calibri"/>
          <w:color w:val="333333"/>
          <w:sz w:val="22"/>
          <w:szCs w:val="22"/>
        </w:rPr>
        <w:t xml:space="preserve">If one component is missing that will kill the Dealum/Axel application, it is the live ERP integration demo. The pitch claims autonomous AI agents that process financial data end-to-end, but the adapter layer has exactly one partially-implemented connector (1C). An investor clicking through the product will ask: “Show me it pulling data from our QuickBooks/Xero/SAP.” The answer today is: it cannot. Building even one polished, demo-ready live integration (ideally QuickBooks Online, given its global reach) would transform the pitch from “architecturally sound prototype” to “product with proven integration capability.”</w:t>
      </w:r>
    </w:p>
    <w:p>
      <w:pPr>
        <w:spacing w:after="200"/>
      </w:pPr>
    </w:p>
    <w:p>
      <w:pPr>
        <w:pStyle w:val="Heading2"/>
      </w:pPr>
      <w:r>
        <w:t xml:space="preserve">5.3 Execution Roadmap: Next 90 Days</w:t>
      </w:r>
    </w:p>
    <w:p>
      <w:pPr>
        <w:pStyle w:val="Heading3"/>
      </w:pPr>
      <w:r>
        <w:t xml:space="preserve">Month 1: Foundation Hardening (Weeks 1–4)</w:t>
      </w:r>
    </w:p>
    <w:p>
      <w:pPr>
        <w:pStyle w:val="ListParagraph"/>
        <w:numPr>
          <w:ilvl w:val="0"/>
          <w:numId w:val="2"/>
        </w:numPr>
        <w:spacing w:after="80"/>
      </w:pPr>
      <w:r>
        <w:rPr>
          <w:rFonts w:ascii="Calibri" w:cs="Calibri" w:eastAsia="Calibri" w:hAnsi="Calibri"/>
          <w:color w:val="333333"/>
          <w:sz w:val="22"/>
          <w:szCs w:val="22"/>
        </w:rPr>
        <w:t xml:space="preserve">Migrate all financial calculations from float to Decimal (the alembic migration e4f1a2b3c901 suggests this was started but verify completion end-to-end)</w:t>
      </w:r>
    </w:p>
    <w:p>
      <w:pPr>
        <w:pStyle w:val="ListParagraph"/>
        <w:numPr>
          <w:ilvl w:val="0"/>
          <w:numId w:val="2"/>
        </w:numPr>
        <w:spacing w:after="80"/>
      </w:pPr>
      <w:r>
        <w:rPr>
          <w:rFonts w:ascii="Calibri" w:cs="Calibri" w:eastAsia="Calibri" w:hAnsi="Calibri"/>
          <w:color w:val="333333"/>
          <w:sz w:val="22"/>
          <w:szCs w:val="22"/>
        </w:rPr>
        <w:t xml:space="preserve">Audit and narrow the 876 broad exception catches to specific error types with structured logging</w:t>
      </w:r>
    </w:p>
    <w:p>
      <w:pPr>
        <w:pStyle w:val="ListParagraph"/>
        <w:numPr>
          <w:ilvl w:val="0"/>
          <w:numId w:val="2"/>
        </w:numPr>
        <w:spacing w:after="80"/>
      </w:pPr>
      <w:r>
        <w:rPr>
          <w:rFonts w:ascii="Calibri" w:cs="Calibri" w:eastAsia="Calibri" w:hAnsi="Calibri"/>
          <w:color w:val="333333"/>
          <w:sz w:val="22"/>
          <w:szCs w:val="22"/>
        </w:rPr>
        <w:t xml:space="preserve">Implement SQLAlchemy-level tenant isolation (row-level security) and write isolation tests</w:t>
      </w:r>
    </w:p>
    <w:p>
      <w:pPr>
        <w:pStyle w:val="ListParagraph"/>
        <w:numPr>
          <w:ilvl w:val="0"/>
          <w:numId w:val="2"/>
        </w:numPr>
        <w:spacing w:after="80"/>
      </w:pPr>
      <w:r>
        <w:rPr>
          <w:rFonts w:ascii="Calibri" w:cs="Calibri" w:eastAsia="Calibri" w:hAnsi="Calibri"/>
          <w:color w:val="333333"/>
          <w:sz w:val="22"/>
          <w:szCs w:val="22"/>
        </w:rPr>
        <w:t xml:space="preserve">Add LLM output validation layer: parse all LLM narratives and cross-check any numeric claims against the deterministic calculation results</w:t>
      </w:r>
    </w:p>
    <w:p>
      <w:pPr>
        <w:spacing w:after="200"/>
      </w:pPr>
    </w:p>
    <w:p>
      <w:pPr>
        <w:pStyle w:val="Heading3"/>
      </w:pPr>
      <w:r>
        <w:t xml:space="preserve">Month 2: Integration &amp; Demo (Weeks 5–8)</w:t>
      </w:r>
    </w:p>
    <w:p>
      <w:pPr>
        <w:pStyle w:val="ListParagraph"/>
        <w:numPr>
          <w:ilvl w:val="0"/>
          <w:numId w:val="2"/>
        </w:numPr>
        <w:spacing w:after="80"/>
      </w:pPr>
      <w:r>
        <w:rPr>
          <w:rFonts w:ascii="Calibri" w:cs="Calibri" w:eastAsia="Calibri" w:hAnsi="Calibri"/>
          <w:color w:val="333333"/>
          <w:sz w:val="22"/>
          <w:szCs w:val="22"/>
        </w:rPr>
        <w:t xml:space="preserve">Build QuickBooks Online adapter (OAuth2 + API integration) as the flagship non-1C connector</w:t>
      </w:r>
    </w:p>
    <w:p>
      <w:pPr>
        <w:pStyle w:val="ListParagraph"/>
        <w:numPr>
          <w:ilvl w:val="0"/>
          <w:numId w:val="2"/>
        </w:numPr>
        <w:spacing w:after="80"/>
      </w:pPr>
      <w:r>
        <w:rPr>
          <w:rFonts w:ascii="Calibri" w:cs="Calibri" w:eastAsia="Calibri" w:hAnsi="Calibri"/>
          <w:color w:val="333333"/>
          <w:sz w:val="22"/>
          <w:szCs w:val="22"/>
        </w:rPr>
        <w:t xml:space="preserve">Persist knowledge graph to database with versioning; implement rule effective dates for regulatory compliance</w:t>
      </w:r>
    </w:p>
    <w:p>
      <w:pPr>
        <w:pStyle w:val="ListParagraph"/>
        <w:numPr>
          <w:ilvl w:val="0"/>
          <w:numId w:val="2"/>
        </w:numPr>
        <w:spacing w:after="80"/>
      </w:pPr>
      <w:r>
        <w:rPr>
          <w:rFonts w:ascii="Calibri" w:cs="Calibri" w:eastAsia="Calibri" w:hAnsi="Calibri"/>
          <w:color w:val="333333"/>
          <w:sz w:val="22"/>
          <w:szCs w:val="22"/>
        </w:rPr>
        <w:t xml:space="preserve">Create end-to-end demo script: upload QuickBooks data → agent pipeline → analyst-grade report in under 60 seconds</w:t>
      </w:r>
    </w:p>
    <w:p>
      <w:pPr>
        <w:pStyle w:val="ListParagraph"/>
        <w:numPr>
          <w:ilvl w:val="0"/>
          <w:numId w:val="2"/>
        </w:numPr>
        <w:spacing w:after="80"/>
      </w:pPr>
      <w:r>
        <w:rPr>
          <w:rFonts w:ascii="Calibri" w:cs="Calibri" w:eastAsia="Calibri" w:hAnsi="Calibri"/>
          <w:color w:val="333333"/>
          <w:sz w:val="22"/>
          <w:szCs w:val="22"/>
        </w:rPr>
        <w:t xml:space="preserve">Hire first senior backend engineer; establish code review and ADR practices</w:t>
      </w:r>
    </w:p>
    <w:p>
      <w:pPr>
        <w:spacing w:after="200"/>
      </w:pPr>
    </w:p>
    <w:p>
      <w:pPr>
        <w:pStyle w:val="Heading3"/>
      </w:pPr>
      <w:r>
        <w:t xml:space="preserve">Month 3: Deployment &amp; Pitch (Weeks 9–12)</w:t>
      </w:r>
    </w:p>
    <w:p>
      <w:pPr>
        <w:pStyle w:val="ListParagraph"/>
        <w:numPr>
          <w:ilvl w:val="0"/>
          <w:numId w:val="2"/>
        </w:numPr>
        <w:spacing w:after="80"/>
      </w:pPr>
      <w:r>
        <w:rPr>
          <w:rFonts w:ascii="Calibri" w:cs="Calibri" w:eastAsia="Calibri" w:hAnsi="Calibri"/>
          <w:color w:val="333333"/>
          <w:sz w:val="22"/>
          <w:szCs w:val="22"/>
        </w:rPr>
        <w:t xml:space="preserve">Deploy Docker-based SaaS instance with Traefik reverse proxy, health checks, and basic monitoring (Prometheus + Grafana)</w:t>
      </w:r>
    </w:p>
    <w:p>
      <w:pPr>
        <w:pStyle w:val="ListParagraph"/>
        <w:numPr>
          <w:ilvl w:val="0"/>
          <w:numId w:val="2"/>
        </w:numPr>
        <w:spacing w:after="80"/>
      </w:pPr>
      <w:r>
        <w:rPr>
          <w:rFonts w:ascii="Calibri" w:cs="Calibri" w:eastAsia="Calibri" w:hAnsi="Calibri"/>
          <w:color w:val="333333"/>
          <w:sz w:val="22"/>
          <w:szCs w:val="22"/>
        </w:rPr>
        <w:t xml:space="preserve">Achieve 70%+ test coverage on core financial logic (reconstruction, knowledge graph queries, agent orchestration)</w:t>
      </w:r>
    </w:p>
    <w:p>
      <w:pPr>
        <w:pStyle w:val="ListParagraph"/>
        <w:numPr>
          <w:ilvl w:val="0"/>
          <w:numId w:val="2"/>
        </w:numPr>
        <w:spacing w:after="80"/>
      </w:pPr>
      <w:r>
        <w:rPr>
          <w:rFonts w:ascii="Calibri" w:cs="Calibri" w:eastAsia="Calibri" w:hAnsi="Calibri"/>
          <w:color w:val="333333"/>
          <w:sz w:val="22"/>
          <w:szCs w:val="22"/>
        </w:rPr>
        <w:t xml:space="preserve">Remove all deprecated code paths (orchestrator_v3, raw SQL methods); clean up binary source files</w:t>
      </w:r>
    </w:p>
    <w:p>
      <w:pPr>
        <w:pStyle w:val="ListParagraph"/>
        <w:numPr>
          <w:ilvl w:val="0"/>
          <w:numId w:val="2"/>
        </w:numPr>
        <w:spacing w:after="80"/>
      </w:pPr>
      <w:r>
        <w:rPr>
          <w:rFonts w:ascii="Calibri" w:cs="Calibri" w:eastAsia="Calibri" w:hAnsi="Calibri"/>
          <w:color w:val="333333"/>
          <w:sz w:val="22"/>
          <w:szCs w:val="22"/>
        </w:rPr>
        <w:t xml:space="preserve">Revise pitch deck to accurately reflect entity status, team composition, and validated metrics; prepare Dealum/Axel submission</w:t>
      </w:r>
    </w:p>
    <w:p>
      <w:pPr>
        <w:spacing w:after="200"/>
      </w:pPr>
    </w:p>
    <w:p>
      <w:r>
        <w:br w:type="page"/>
      </w:r>
    </w:p>
    <w:p>
      <w:pPr>
        <w:pStyle w:val="Heading1"/>
      </w:pPr>
      <w:r>
        <w:t xml:space="preserve">Appendix A: Consolidated Risk Matrix</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c>
          <w:tcPr>
            <w:tcW w:type="dxa" w:w="200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220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120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3960"/>
            <w:tcBorders>
              <w:top w:val="single" w:color="D0D5DD" w:sz="1"/>
              <w:left w:val="single" w:color="D0D5DD" w:sz="1"/>
              <w:bottom w:val="single" w:color="D0D5DD" w:sz="1"/>
              <w:right w:val="single" w:color="D0D5DD"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Recommendation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Bus Factor</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Single developer; no documentation</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Hire #2 engineer; create ADRs; document all subsystems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Float Math</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Financial calculations use float, not Decimal</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Complete Decimal migration end-to-end</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Multi-Tenancy</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 row-level security implemented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Implement before any multi-tenant deployment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Exception Handling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876 broad catches mask financial errors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Narrow all catches; add structured logging</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Live Integration</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Only 1C adapter exists (partially)</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E67E22"/>
                <w:sz w:val="20"/>
                <w:szCs w:val="20"/>
              </w:rPr>
              <w:t xml:space="preserve">HIGH</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Build QuickBooks adapter for demo credibility</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LLM Hallucination Guard</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Behavioral only, no code-level validation</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E67E22"/>
                <w:sz w:val="20"/>
                <w:szCs w:val="20"/>
              </w:rPr>
              <w:t xml:space="preserve">HIGH</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Add numeric validation on LLM outputs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Knowledge Graph Persistence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In-memory; lost on restart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E67E22"/>
                <w:sz w:val="20"/>
                <w:szCs w:val="20"/>
              </w:rPr>
              <w:t xml:space="preserve">HIGH</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Persist to DB with versioning</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Deck Accuracy</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Team/traction slides may not match reality</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E67E22"/>
                <w:sz w:val="20"/>
                <w:szCs w:val="20"/>
              </w:rPr>
              <w:t xml:space="preserve">HIGH</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Revise to reflect actual status transparently</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Auth Model</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HS256 JWT only; no OAuth2/OIDC</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F39C12"/>
                <w:sz w:val="20"/>
                <w:szCs w:val="20"/>
              </w:rPr>
              <w:t xml:space="preserve">MEDIUM</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Add OAuth2 for enterprise SSO requirements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Test Coverage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~40–50% estimated coverage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F39C12"/>
                <w:sz w:val="20"/>
                <w:szCs w:val="20"/>
              </w:rPr>
              <w:t xml:space="preserve">MEDIUM</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Target 70%+ on core financial logic</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Regulatory Versioning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 rule effective dates or audit trail</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F39C12"/>
                <w:sz w:val="20"/>
                <w:szCs w:val="20"/>
              </w:rPr>
              <w:t xml:space="preserve">MEDIUM</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Build versioned rule engine with date ranges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Deployment Pipeline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 CI/CD, no K8s manifests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bCs/>
                <w:color w:val="F39C12"/>
                <w:sz w:val="20"/>
                <w:szCs w:val="20"/>
              </w:rPr>
              <w:t xml:space="preserve">MEDIUM</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Set up GitHub Actions + Docker Compose for staging</w:t>
            </w:r>
          </w:p>
        </w:tc>
      </w:tr>
    </w:tbl>
    <w:p>
      <w:pPr>
        <w:spacing w:after="200"/>
      </w:pPr>
    </w:p>
    <w:p>
      <w:pPr>
        <w:pStyle w:val="Heading1"/>
      </w:pPr>
      <w:r>
        <w:t xml:space="preserve">Appendix B: Panel Assessment Summary</w:t>
      </w:r>
    </w:p>
    <w:p>
      <w:pPr>
        <w:spacing w:after="200"/>
      </w:pPr>
    </w:p>
    <w:p>
      <w:pPr>
        <w:pStyle w:val="Heading3"/>
      </w:pPr>
      <w:r>
        <w:t xml:space="preserve">CTO / Tier-1 Tech Auditor</w:t>
      </w:r>
    </w:p>
    <w:p>
      <w:pPr>
        <w:spacing w:after="120"/>
      </w:pPr>
      <w:r>
        <w:rPr>
          <w:rFonts w:ascii="Calibri" w:cs="Calibri" w:eastAsia="Calibri" w:hAnsi="Calibri"/>
          <w:color w:val="333333"/>
          <w:sz w:val="22"/>
          <w:szCs w:val="22"/>
        </w:rPr>
        <w:t xml:space="preserve">The architecture is genuinely innovative for a solo build. The hybrid symbolic-neural approach, the knowledge graph with Georgian accounting expertise, and the multi-agent pipeline show real engineering thinking. However, the gap between architectural ambition and production readiness is significant. The float-to-Decimal migration, exception handling overhaul, and multi-tenancy implementation are non-negotiable before enterprise deployment. I would invest 90 days of hardening before presenting to institutional customers.</w:t>
      </w:r>
    </w:p>
    <w:p>
      <w:pPr>
        <w:spacing w:after="200"/>
      </w:pPr>
    </w:p>
    <w:p>
      <w:pPr>
        <w:pStyle w:val="Heading3"/>
      </w:pPr>
      <w:r>
        <w:t xml:space="preserve">FinTech Venture Capitalist</w:t>
      </w:r>
    </w:p>
    <w:p>
      <w:pPr>
        <w:spacing w:after="120"/>
      </w:pPr>
      <w:r>
        <w:rPr>
          <w:rFonts w:ascii="Calibri" w:cs="Calibri" w:eastAsia="Calibri" w:hAnsi="Calibri"/>
          <w:color w:val="333333"/>
          <w:sz w:val="22"/>
          <w:szCs w:val="22"/>
        </w:rPr>
        <w:t xml:space="preserve">The market opportunity is real—AI-powered financial analysis is a $45B TAM with genuine demand in emerging markets. The Georgian/CIS positioning is differentiated. My concerns center on the pitch deck’s disconnect from reality: the team slide, traction numbers, and pricing model need honest revision. A Seed investor will fund a strong solo founder with a working prototype and a credible plan to build a team. They will not fund a pitch that overstates current capabilities. Fix the narrative, demonstrate one live integration, and the Axel application becomes compelling.</w:t>
      </w:r>
    </w:p>
    <w:p>
      <w:pPr>
        <w:spacing w:after="200"/>
      </w:pPr>
    </w:p>
    <w:p>
      <w:pPr>
        <w:pStyle w:val="Heading3"/>
      </w:pPr>
      <w:r>
        <w:t xml:space="preserve">Enterprise Product Strategist</w:t>
      </w:r>
    </w:p>
    <w:p>
      <w:pPr>
        <w:spacing w:after="120"/>
      </w:pPr>
      <w:r>
        <w:rPr>
          <w:rFonts w:ascii="Calibri" w:cs="Calibri" w:eastAsia="Calibri" w:hAnsi="Calibri"/>
          <w:color w:val="333333"/>
          <w:sz w:val="22"/>
          <w:szCs w:val="22"/>
        </w:rPr>
        <w:t xml:space="preserve">The product vision—replacing manual spreadsheet analysis with autonomous agents—is exactly right. The execution gap is in the “last mile”: the adapter layer that connects to real customer data. Every enterprise deal will start with “Does it connect to our ERP?” Until that question has more than one answer, the product is a technology demo, not a sellable product. Prioritize QuickBooks Online and a generic CSV/Excel adapter, then build industry-specific packages on top. The $499/month Starter tier is the right entry point for Georgian SMEs; the $15K–$25K positioning should be reserved for post-PMF expansion into larger CIS enterprises.</w:t>
      </w:r>
    </w:p>
    <w:p>
      <w:pPr>
        <w:spacing w:after="200"/>
      </w:pPr>
    </w:p>
    <w:p>
      <w:pPr>
        <w:spacing w:after="120"/>
      </w:pPr>
      <w:r>
        <w:rPr>
          <w:rFonts w:ascii="Calibri" w:cs="Calibri" w:eastAsia="Calibri" w:hAnsi="Calibri"/>
          <w:i/>
          <w:iCs/>
          <w:color w:val="666666"/>
          <w:sz w:val="22"/>
          <w:szCs w:val="22"/>
        </w:rPr>
        <w:t xml:space="preserve">— End of Report —</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666666"/>
        <w:sz w:val="18"/>
        <w:szCs w:val="18"/>
      </w:rPr>
      <w:t xml:space="preserve">NYX CORE — Confidential Audit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66666"/>
        <w:sz w:val="18"/>
        <w:szCs w:val="18"/>
      </w:rPr>
      <w:t xml:space="preserve">NYX CORE — Confidential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E2761"/>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E2761"/>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2026-04-12T07:31:04.475Z</dcterms:created>
  <dcterms:modified xsi:type="dcterms:W3CDTF">2026-04-12T07:31:04.476Z</dcterms:modified>
</cp:coreProperties>
</file>

<file path=docProps/custom.xml><?xml version="1.0" encoding="utf-8"?>
<Properties xmlns="http://schemas.openxmlformats.org/officeDocument/2006/custom-properties" xmlns:vt="http://schemas.openxmlformats.org/officeDocument/2006/docPropsVTypes"/>
</file>