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34"/>
          <w:szCs w:val="34"/>
        </w:rPr>
        <w:t xml:space="preserve">EU ELV Capstone — Top Contender Country</w:t>
      </w:r>
    </w:p>
    <w:p>
      <w:pPr>
        <w:spacing w:after="40" w:line="276"/>
      </w:pPr>
      <w:r>
        <w:rPr>
          <w:rFonts w:ascii="Calibri" w:cs="Calibri" w:eastAsia="Calibri" w:hAnsi="Calibri"/>
          <w:color w:val="595959"/>
          <w:sz w:val="20"/>
          <w:szCs w:val="20"/>
        </w:rPr>
        <w:t xml:space="preserve">Evidence-based selection from the project's Eurostat pipeline (env_waselvt / env_waselv, 2005–2023)</w:t>
      </w:r>
    </w:p>
    <w:p>
      <w:pPr>
        <w:spacing w:after="260" w:line="276"/>
      </w:pPr>
      <w:r>
        <w:rPr>
          <w:rFonts w:ascii="Calibri" w:cs="Calibri" w:eastAsia="Calibri" w:hAnsi="Calibri"/>
          <w:color w:val="595959"/>
          <w:sz w:val="20"/>
          <w:szCs w:val="20"/>
        </w:rPr>
        <w:t xml:space="preserve">Prepared 1 August 2026 · for Priyanka</w:t>
      </w:r>
    </w:p>
    <w:p>
      <w:pPr>
        <w:pBdr>
          <w:top w:val="single" w:color="1F4E5F" w:sz="12" w:space="10"/>
          <w:bottom w:val="single" w:color="1F4E5F" w:sz="12" w:space="10"/>
        </w:pBdr>
        <w:shd w:fill="E8EEF1" w:color="auto" w:val="clear"/>
        <w:spacing w:after="200"/>
      </w:pPr>
      <w:r>
        <w:rPr>
          <w:rFonts w:ascii="Calibri" w:cs="Calibri" w:eastAsia="Calibri" w:hAnsi="Calibri"/>
          <w:b/>
          <w:bCs/>
          <w:sz w:val="24"/>
          <w:szCs w:val="24"/>
        </w:rPr>
        <w:t xml:space="preserve">Top contender country:  </w:t>
      </w:r>
      <w:r>
        <w:rPr>
          <w:rFonts w:ascii="Calibri" w:cs="Calibri" w:eastAsia="Calibri" w:hAnsi="Calibri"/>
          <w:b/>
          <w:bCs/>
          <w:color w:val="1F4E5F"/>
          <w:sz w:val="28"/>
          <w:szCs w:val="28"/>
        </w:rPr>
        <w:t xml:space="preserve">Belgium</w:t>
      </w:r>
    </w:p>
    <w:p>
      <w:pPr>
        <w:pStyle w:val="Heading1"/>
        <w:pBdr>
          <w:bottom w:val="single" w:color="1F4E5F" w:sz="6" w:space="4"/>
        </w:pBdr>
        <w:spacing w:after="150" w:before="300"/>
      </w:pPr>
      <w:r>
        <w:rPr>
          <w:rFonts w:ascii="Calibri" w:cs="Calibri" w:eastAsia="Calibri" w:hAnsi="Calibri"/>
          <w:b/>
          <w:bCs/>
          <w:color w:val="1F4E5F"/>
          <w:sz w:val="26"/>
          <w:szCs w:val="26"/>
        </w:rPr>
        <w:t xml:space="preserve">Team submission</w:t>
      </w:r>
    </w:p>
    <w:p>
      <w:pPr>
        <w:spacing w:after="200" w:line="276"/>
      </w:pPr>
      <w:r>
        <w:rPr>
          <w:rFonts w:ascii="Calibri" w:cs="Calibri" w:eastAsia="Calibri" w:hAnsi="Calibri"/>
          <w:sz w:val="22"/>
          <w:szCs w:val="22"/>
        </w:rPr>
        <w:t xml:space="preserve">Belgium is the strongest contender because it has met the 85% reuse-and-recycling target in every one of its 18 reported years (2006–2023) and has met both EU targets in nine consecutive years since 2015, finishing 2023 at 93.5% recycling and 97.7% recovery. Its performance improved steadily rather than erratically — recycling rose from 87.7% to 93.5% and recovery from 90.0% to 97.7% with no reversals — and it carries no anomalies, no estimated or imputed values, and no rates above 100% anywhere in the series. It also clears the binding recycling target by 8.5 points, the widest safety margin among the consistently compliant countries, so its compliance does not depend on rounding or a single strong year.</w:t>
      </w:r>
    </w:p>
    <w:p>
      <w:pPr>
        <w:pStyle w:val="Heading1"/>
        <w:pBdr>
          <w:bottom w:val="single" w:color="1F4E5F" w:sz="6" w:space="4"/>
        </w:pBdr>
        <w:spacing w:after="150" w:before="300"/>
      </w:pPr>
      <w:r>
        <w:rPr>
          <w:rFonts w:ascii="Calibri" w:cs="Calibri" w:eastAsia="Calibri" w:hAnsi="Calibri"/>
          <w:b/>
          <w:bCs/>
          <w:color w:val="1F4E5F"/>
          <w:sz w:val="26"/>
          <w:szCs w:val="26"/>
        </w:rPr>
        <w:t xml:space="preserve">Supporting evidence</w:t>
      </w:r>
    </w:p>
    <w:p>
      <w:pPr>
        <w:pStyle w:val="ListParagraph"/>
        <w:numPr>
          <w:ilvl w:val="0"/>
          <w:numId w:val="2"/>
        </w:numPr>
        <w:spacing w:after="90" w:line="276"/>
      </w:pPr>
      <w:r>
        <w:rPr>
          <w:rFonts w:ascii="Calibri" w:cs="Calibri" w:eastAsia="Calibri" w:hAnsi="Calibri"/>
          <w:b/>
          <w:bCs/>
          <w:sz w:val="22"/>
          <w:szCs w:val="22"/>
        </w:rPr>
        <w:t xml:space="preserve">2023 performance: </w:t>
      </w:r>
      <w:r>
        <w:rPr>
          <w:rFonts w:ascii="Calibri" w:cs="Calibri" w:eastAsia="Calibri" w:hAnsi="Calibri"/>
          <w:sz w:val="22"/>
          <w:szCs w:val="22"/>
        </w:rPr>
        <w:t xml:space="preserve">reuse-and-recycling 93.5%, reuse-and-recovery 97.7% — both above target.</w:t>
      </w:r>
    </w:p>
    <w:p>
      <w:pPr>
        <w:pStyle w:val="ListParagraph"/>
        <w:numPr>
          <w:ilvl w:val="0"/>
          <w:numId w:val="2"/>
        </w:numPr>
        <w:spacing w:after="90" w:line="276"/>
      </w:pPr>
      <w:r>
        <w:rPr>
          <w:rFonts w:ascii="Calibri" w:cs="Calibri" w:eastAsia="Calibri" w:hAnsi="Calibri"/>
          <w:b/>
          <w:bCs/>
          <w:sz w:val="22"/>
          <w:szCs w:val="22"/>
        </w:rPr>
        <w:t xml:space="preserve">Target history: </w:t>
      </w:r>
      <w:r>
        <w:rPr>
          <w:rFonts w:ascii="Calibri" w:cs="Calibri" w:eastAsia="Calibri" w:hAnsi="Calibri"/>
          <w:sz w:val="22"/>
          <w:szCs w:val="22"/>
        </w:rPr>
        <w:t xml:space="preserve">recycling target met in 18 of 18 years (2006–2023); both targets met in 9 consecutive years (2015–2023).</w:t>
      </w:r>
    </w:p>
    <w:p>
      <w:pPr>
        <w:pStyle w:val="ListParagraph"/>
        <w:numPr>
          <w:ilvl w:val="0"/>
          <w:numId w:val="2"/>
        </w:numPr>
        <w:spacing w:after="90" w:line="276"/>
      </w:pPr>
      <w:r>
        <w:rPr>
          <w:rFonts w:ascii="Calibri" w:cs="Calibri" w:eastAsia="Calibri" w:hAnsi="Calibri"/>
          <w:b/>
          <w:bCs/>
          <w:sz w:val="22"/>
          <w:szCs w:val="22"/>
        </w:rPr>
        <w:t xml:space="preserve">Trend: </w:t>
      </w:r>
      <w:r>
        <w:rPr>
          <w:rFonts w:ascii="Calibri" w:cs="Calibri" w:eastAsia="Calibri" w:hAnsi="Calibri"/>
          <w:sz w:val="22"/>
          <w:szCs w:val="22"/>
        </w:rPr>
        <w:t xml:space="preserve">recycling 87.7% → 93.5% and recovery 90.0% → 97.7% between 2006 and 2023, rising without reversal.</w:t>
      </w:r>
    </w:p>
    <w:p>
      <w:pPr>
        <w:pStyle w:val="ListParagraph"/>
        <w:numPr>
          <w:ilvl w:val="0"/>
          <w:numId w:val="2"/>
        </w:numPr>
        <w:spacing w:after="90" w:line="276"/>
      </w:pPr>
      <w:r>
        <w:rPr>
          <w:rFonts w:ascii="Calibri" w:cs="Calibri" w:eastAsia="Calibri" w:hAnsi="Calibri"/>
          <w:b/>
          <w:bCs/>
          <w:sz w:val="22"/>
          <w:szCs w:val="22"/>
        </w:rPr>
        <w:t xml:space="preserve">Consistency: </w:t>
      </w:r>
      <w:r>
        <w:rPr>
          <w:rFonts w:ascii="Calibri" w:cs="Calibri" w:eastAsia="Calibri" w:hAnsi="Calibri"/>
          <w:sz w:val="22"/>
          <w:szCs w:val="22"/>
        </w:rPr>
        <w:t xml:space="preserve">lowest recovery volatility (standard deviation 3.17) among the eight countries meeting both targets across 2019–2023, and the highest recovery floor — never below 90.0% in 18 years.</w:t>
      </w:r>
    </w:p>
    <w:p>
      <w:pPr>
        <w:pStyle w:val="ListParagraph"/>
        <w:numPr>
          <w:ilvl w:val="0"/>
          <w:numId w:val="2"/>
        </w:numPr>
        <w:spacing w:after="90" w:line="276"/>
      </w:pPr>
      <w:r>
        <w:rPr>
          <w:rFonts w:ascii="Calibri" w:cs="Calibri" w:eastAsia="Calibri" w:hAnsi="Calibri"/>
          <w:b/>
          <w:bCs/>
          <w:sz w:val="22"/>
          <w:szCs w:val="22"/>
        </w:rPr>
        <w:t xml:space="preserve">Data quality: </w:t>
      </w:r>
      <w:r>
        <w:rPr>
          <w:rFonts w:ascii="Calibri" w:cs="Calibri" w:eastAsia="Calibri" w:hAnsi="Calibri"/>
          <w:sz w:val="22"/>
          <w:szCs w:val="22"/>
        </w:rPr>
        <w:t xml:space="preserve">0 estimated years, 0 imputed years, 0 low-reliability years, 0 documented anomalies, 0 undiagnosed flags, 0 values above 100%.</w:t>
      </w:r>
    </w:p>
    <w:p>
      <w:pPr>
        <w:pStyle w:val="ListParagraph"/>
        <w:numPr>
          <w:ilvl w:val="0"/>
          <w:numId w:val="2"/>
        </w:numPr>
        <w:spacing w:after="180" w:line="276"/>
      </w:pPr>
      <w:r>
        <w:rPr>
          <w:rFonts w:ascii="Calibri" w:cs="Calibri" w:eastAsia="Calibri" w:hAnsi="Calibri"/>
          <w:b/>
          <w:bCs/>
          <w:sz w:val="22"/>
          <w:szCs w:val="22"/>
        </w:rPr>
        <w:t xml:space="preserve">Scale and export exposure: </w:t>
      </w:r>
      <w:r>
        <w:rPr>
          <w:rFonts w:ascii="Calibri" w:cs="Calibri" w:eastAsia="Calibri" w:hAnsi="Calibri"/>
          <w:sz w:val="22"/>
          <w:szCs w:val="22"/>
        </w:rPr>
        <w:t xml:space="preserve">63,592 vehicles / 80,190 tonnes (2023); export share 11.0% of generated tonnage (2019–2023).</w:t>
      </w:r>
    </w:p>
    <w:p>
      <w:pPr>
        <w:spacing w:after="120" w:line="276"/>
      </w:pPr>
      <w:r>
        <w:rPr>
          <w:rFonts w:ascii="Calibri" w:cs="Calibri" w:eastAsia="Calibri" w:hAnsi="Calibri"/>
          <w:sz w:val="22"/>
          <w:szCs w:val="22"/>
        </w:rPr>
        <w:t xml:space="preserve">Belgium against the two closest alternatives:</w:t>
      </w:r>
    </w:p>
    <w:tbl>
      <w:tblPr>
        <w:tblW w:type="dxa" w:w="9360"/>
        <w:tblBorders>
          <w:top w:val="single" w:color="BFBFBF" w:sz="4"/>
          <w:left w:val="none"/>
          <w:bottom w:val="single" w:color="BFBFBF" w:sz="4"/>
          <w:right w:val="none"/>
          <w:insideH w:val="single" w:color="D9D9D9" w:sz="2"/>
          <w:insideV w:val="none"/>
        </w:tblBorders>
      </w:tblPr>
      <w:tblGrid>
        <w:gridCol w:w="3560"/>
        <w:gridCol w:w="1900"/>
        <w:gridCol w:w="1950"/>
        <w:gridCol w:w="1950"/>
      </w:tblGrid>
      <w:tr>
        <w:trPr>
          <w:tblHeader/>
        </w:trPr>
        <w:tc>
          <w:tcPr>
            <w:tcW w:type="dxa" w:w="3560"/>
            <w:shd w:fill="E8EEF1" w:color="auto"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Measure</w:t>
            </w:r>
          </w:p>
        </w:tc>
        <w:tc>
          <w:tcPr>
            <w:tcW w:type="dxa" w:w="190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Belgium</w:t>
            </w:r>
          </w:p>
        </w:tc>
        <w:tc>
          <w:tcPr>
            <w:tcW w:type="dxa" w:w="195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Netherlands</w:t>
            </w:r>
          </w:p>
        </w:tc>
        <w:tc>
          <w:tcPr>
            <w:tcW w:type="dxa" w:w="1950"/>
            <w:shd w:fill="E8EEF1" w:color="auto" w:val="clear"/>
            <w:tcMar>
              <w:top w:type="dxa" w:w="60"/>
              <w:left w:type="dxa" w:w="100"/>
              <w:bottom w:type="dxa" w:w="60"/>
              <w:right w:type="dxa" w:w="100"/>
            </w:tcMar>
          </w:tcPr>
          <w:p>
            <w:pPr>
              <w:spacing w:after="0" w:line="240"/>
              <w:jc w:val="right"/>
            </w:pPr>
            <w:r>
              <w:rPr>
                <w:rFonts w:ascii="Calibri" w:cs="Calibri" w:eastAsia="Calibri" w:hAnsi="Calibri"/>
                <w:b/>
                <w:bCs/>
                <w:sz w:val="20"/>
                <w:szCs w:val="20"/>
              </w:rPr>
              <w:t xml:space="preserve">Sweden</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Recycling target met (of 18 yrs)</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18 (100%)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11 (61%)</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10 (56%)</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Recovery target met (of 18 yrs)</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 (50%)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14 (78%)</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 (44%)</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Both targets, consecutive years</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 (2015–23)</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11 (2013–23)</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7 (2017–23)</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2023 recycling rate</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93.5%</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88.1%</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87.1%</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2023 recovery rate</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97.7%</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98.7%</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97.6%</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Margin over 85% target (2023)</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8.5 pts</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3.1 pts</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2.1 pts</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Recovery volatility (SD)</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3.17</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5.34</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3.67</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Export share, 2019–23</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11.0%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19.0%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0.0%</w:t>
            </w:r>
          </w:p>
        </w:tc>
      </w:tr>
      <w:tr>
        <w:tc>
          <w:tcPr>
            <w:tcW w:type="dxa" w:w="3560"/>
            <w:tcMar>
              <w:top w:type="dxa" w:w="60"/>
              <w:left w:type="dxa" w:w="100"/>
              <w:bottom w:type="dxa" w:w="60"/>
              <w:right w:type="dxa" w:w="100"/>
            </w:tcMar>
          </w:tcPr>
          <w:p>
            <w:pPr>
              <w:spacing w:after="0" w:line="240"/>
            </w:pPr>
            <w:r>
              <w:rPr>
                <w:rFonts w:ascii="Calibri" w:cs="Calibri" w:eastAsia="Calibri" w:hAnsi="Calibri"/>
                <w:sz w:val="20"/>
                <w:szCs w:val="20"/>
              </w:rPr>
              <w:t xml:space="preserve">Quality flags / anomalies</w:t>
            </w:r>
          </w:p>
        </w:tc>
        <w:tc>
          <w:tcPr>
            <w:tcW w:type="dxa" w:w="1900"/>
            <w:tcMar>
              <w:top w:type="dxa" w:w="60"/>
              <w:left w:type="dxa" w:w="100"/>
              <w:bottom w:type="dxa" w:w="60"/>
              <w:right w:type="dxa" w:w="100"/>
            </w:tcMar>
          </w:tcPr>
          <w:p>
            <w:pPr>
              <w:spacing w:after="0" w:line="240"/>
              <w:jc w:val="right"/>
            </w:pPr>
            <w:r>
              <w:rPr>
                <w:rFonts w:ascii="Calibri" w:cs="Calibri" w:eastAsia="Calibri" w:hAnsi="Calibri"/>
                <w:sz w:val="20"/>
                <w:szCs w:val="20"/>
              </w:rPr>
              <w:t xml:space="preserve">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0</w:t>
            </w:r>
          </w:p>
        </w:tc>
        <w:tc>
          <w:tcPr>
            <w:tcW w:type="dxa" w:w="1950"/>
            <w:tcMar>
              <w:top w:type="dxa" w:w="60"/>
              <w:left w:type="dxa" w:w="100"/>
              <w:bottom w:type="dxa" w:w="60"/>
              <w:right w:type="dxa" w:w="100"/>
            </w:tcMar>
          </w:tcPr>
          <w:p>
            <w:pPr>
              <w:spacing w:after="0" w:line="240"/>
              <w:jc w:val="right"/>
            </w:pPr>
            <w:r>
              <w:rPr>
                <w:rFonts w:ascii="Calibri" w:cs="Calibri" w:eastAsia="Calibri" w:hAnsi="Calibri"/>
                <w:sz w:val="20"/>
                <w:szCs w:val="20"/>
              </w:rPr>
              <w:t xml:space="preserve">0</w:t>
            </w:r>
          </w:p>
        </w:tc>
      </w:tr>
    </w:tbl>
    <w:p>
      <w:pPr>
        <w:spacing w:after="200" w:line="276"/>
      </w:pPr>
      <w:r>
        <w:rPr>
          <w:rFonts w:ascii="Calibri" w:cs="Calibri" w:eastAsia="Calibri" w:hAnsi="Calibri"/>
          <w:i/>
          <w:iCs/>
          <w:color w:val="595959"/>
          <w:sz w:val="20"/>
          <w:szCs w:val="20"/>
        </w:rPr>
        <w:t xml:space="preserve">Sweden is the cleanest on export exposure but meets the recycling target in only 10 of 18 years against Belgium's 18 of 18.</w:t>
      </w:r>
    </w:p>
    <w:p>
      <w:pPr>
        <w:pStyle w:val="Heading1"/>
        <w:pBdr>
          <w:bottom w:val="single" w:color="1F4E5F" w:sz="6" w:space="4"/>
        </w:pBdr>
        <w:spacing w:after="150" w:before="300"/>
      </w:pPr>
      <w:r>
        <w:rPr>
          <w:rFonts w:ascii="Calibri" w:cs="Calibri" w:eastAsia="Calibri" w:hAnsi="Calibri"/>
          <w:b/>
          <w:bCs/>
          <w:color w:val="1F4E5F"/>
          <w:sz w:val="26"/>
          <w:szCs w:val="26"/>
        </w:rPr>
        <w:t xml:space="preserve">Cautions and limitations</w:t>
      </w:r>
    </w:p>
    <w:p>
      <w:pPr>
        <w:pStyle w:val="ListParagraph"/>
        <w:numPr>
          <w:ilvl w:val="0"/>
          <w:numId w:val="2"/>
        </w:numPr>
        <w:spacing w:after="90" w:line="276"/>
      </w:pPr>
      <w:r>
        <w:rPr>
          <w:rFonts w:ascii="Calibri" w:cs="Calibri" w:eastAsia="Calibri" w:hAnsi="Calibri"/>
          <w:b/>
          <w:bCs/>
          <w:sz w:val="22"/>
          <w:szCs w:val="22"/>
        </w:rPr>
        <w:t xml:space="preserve">Export exposure. </w:t>
      </w:r>
      <w:r>
        <w:rPr>
          <w:rFonts w:ascii="Calibri" w:cs="Calibri" w:eastAsia="Calibri" w:hAnsi="Calibri"/>
          <w:sz w:val="22"/>
          <w:szCs w:val="22"/>
        </w:rPr>
        <w:t xml:space="preserve">Belgium's 11.0% export share means roughly one tonne in nine left the country. Reported rates include exported tonnage, so they measure reported treatment rather than confirmed domestic processing. Sweden (0.0%) and Austria (0.4%) are cleaner on this dimension but weaker on target history.</w:t>
      </w:r>
    </w:p>
    <w:p>
      <w:pPr>
        <w:pStyle w:val="ListParagraph"/>
        <w:numPr>
          <w:ilvl w:val="0"/>
          <w:numId w:val="2"/>
        </w:numPr>
        <w:spacing w:after="90" w:line="276"/>
      </w:pPr>
      <w:r>
        <w:rPr>
          <w:rFonts w:ascii="Calibri" w:cs="Calibri" w:eastAsia="Calibri" w:hAnsi="Calibri"/>
          <w:b/>
          <w:bCs/>
          <w:sz w:val="22"/>
          <w:szCs w:val="22"/>
        </w:rPr>
        <w:t xml:space="preserve">Shorter both-target streak than the runner-up. </w:t>
      </w:r>
      <w:r>
        <w:rPr>
          <w:rFonts w:ascii="Calibri" w:cs="Calibri" w:eastAsia="Calibri" w:hAnsi="Calibri"/>
          <w:sz w:val="22"/>
          <w:szCs w:val="22"/>
        </w:rPr>
        <w:t xml:space="preserve">Recovery-target compliance began only in 2015; 2006–2014 met recycling but not recovery. The Netherlands' streak is eleven years to Belgium's nine.</w:t>
      </w:r>
    </w:p>
    <w:p>
      <w:pPr>
        <w:pStyle w:val="ListParagraph"/>
        <w:numPr>
          <w:ilvl w:val="0"/>
          <w:numId w:val="2"/>
        </w:numPr>
        <w:spacing w:after="90" w:line="276"/>
      </w:pPr>
      <w:r>
        <w:rPr>
          <w:rFonts w:ascii="Calibri" w:cs="Calibri" w:eastAsia="Calibri" w:hAnsi="Calibri"/>
          <w:b/>
          <w:bCs/>
          <w:sz w:val="22"/>
          <w:szCs w:val="22"/>
        </w:rPr>
        <w:t xml:space="preserve">Mid-sized market. </w:t>
      </w:r>
      <w:r>
        <w:rPr>
          <w:rFonts w:ascii="Calibri" w:cs="Calibri" w:eastAsia="Calibri" w:hAnsi="Calibri"/>
          <w:sz w:val="22"/>
          <w:szCs w:val="22"/>
        </w:rPr>
        <w:t xml:space="preserve">63,592 vehicles in 2023, against 131,896 for the Netherlands and 1,029,932 for France — so Belgium is not a proxy for large-market dynamics.</w:t>
      </w:r>
    </w:p>
    <w:p>
      <w:pPr>
        <w:pStyle w:val="ListParagraph"/>
        <w:numPr>
          <w:ilvl w:val="0"/>
          <w:numId w:val="2"/>
        </w:numPr>
        <w:spacing w:after="90" w:line="276"/>
      </w:pPr>
      <w:r>
        <w:rPr>
          <w:rFonts w:ascii="Calibri" w:cs="Calibri" w:eastAsia="Calibri" w:hAnsi="Calibri"/>
          <w:b/>
          <w:bCs/>
          <w:sz w:val="22"/>
          <w:szCs w:val="22"/>
        </w:rPr>
        <w:t xml:space="preserve">One country posts a better raw attainment record and was rejected. </w:t>
      </w:r>
      <w:r>
        <w:rPr>
          <w:rFonts w:ascii="Calibri" w:cs="Calibri" w:eastAsia="Calibri" w:hAnsi="Calibri"/>
          <w:sz w:val="22"/>
          <w:szCs w:val="22"/>
        </w:rPr>
        <w:t xml:space="preserve">Croatia meets both targets in 12 of 12 reported years (100%), but 58.3% of its tonnage is exported, it is missing seven years (no reporting before 2012), its trend is flat to declining (recycling +0.4, recovery -2.2 points), and its 2013 entry sits at exactly 100.0%/100.0% carrying an "estimated" flag — the same round-number pattern the project flags as suspect for Greece 2016.</w:t>
      </w:r>
    </w:p>
    <w:p>
      <w:pPr>
        <w:pStyle w:val="ListParagraph"/>
        <w:numPr>
          <w:ilvl w:val="0"/>
          <w:numId w:val="2"/>
        </w:numPr>
        <w:spacing w:after="90" w:line="276"/>
      </w:pPr>
      <w:r>
        <w:rPr>
          <w:rFonts w:ascii="Calibri" w:cs="Calibri" w:eastAsia="Calibri" w:hAnsi="Calibri"/>
          <w:b/>
          <w:bCs/>
          <w:sz w:val="22"/>
          <w:szCs w:val="22"/>
        </w:rPr>
        <w:t xml:space="preserve">Targets are hardcoded. </w:t>
      </w:r>
      <w:r>
        <w:rPr>
          <w:rFonts w:ascii="Calibri" w:cs="Calibri" w:eastAsia="Calibri" w:hAnsi="Calibri"/>
          <w:sz w:val="22"/>
          <w:szCs w:val="22"/>
        </w:rPr>
        <w:t xml:space="preserve">The 85% and 95% thresholds are constants in the Gold SQL, not read from a cited legal source.</w:t>
      </w:r>
    </w:p>
    <w:p>
      <w:pPr>
        <w:pStyle w:val="ListParagraph"/>
        <w:numPr>
          <w:ilvl w:val="0"/>
          <w:numId w:val="2"/>
        </w:numPr>
        <w:spacing w:after="180" w:line="276"/>
      </w:pPr>
      <w:r>
        <w:rPr>
          <w:rFonts w:ascii="Calibri" w:cs="Calibri" w:eastAsia="Calibri" w:hAnsi="Calibri"/>
          <w:b/>
          <w:bCs/>
          <w:color w:val="8A4B00"/>
          <w:sz w:val="22"/>
          <w:szCs w:val="22"/>
        </w:rPr>
        <w:t xml:space="preserve">Single data vintage. </w:t>
      </w:r>
      <w:r>
        <w:rPr>
          <w:rFonts w:ascii="Calibri" w:cs="Calibri" w:eastAsia="Calibri" w:hAnsi="Calibri"/>
          <w:color w:val="8A4B00"/>
          <w:sz w:val="22"/>
          <w:szCs w:val="22"/>
        </w:rPr>
        <w:t xml:space="preserve">All figures derive from one Eurostat release (LAST UPDATE 28/04/2026). The pipeline has been validated against a hand-checked extract but not yet across a Eurostat republication.</w:t>
      </w:r>
    </w:p>
    <w:p>
      <w:pPr>
        <w:pStyle w:val="Heading1"/>
        <w:pBdr>
          <w:bottom w:val="single" w:color="1F4E5F" w:sz="6" w:space="4"/>
        </w:pBdr>
        <w:spacing w:after="150" w:before="300"/>
      </w:pPr>
      <w:r>
        <w:rPr>
          <w:rFonts w:ascii="Calibri" w:cs="Calibri" w:eastAsia="Calibri" w:hAnsi="Calibri"/>
          <w:b/>
          <w:bCs/>
          <w:color w:val="1F4E5F"/>
          <w:sz w:val="26"/>
          <w:szCs w:val="26"/>
        </w:rPr>
        <w:t xml:space="preserve">Source trace</w:t>
      </w:r>
    </w:p>
    <w:p>
      <w:pPr>
        <w:pStyle w:val="ListParagraph"/>
        <w:numPr>
          <w:ilvl w:val="0"/>
          <w:numId w:val="2"/>
        </w:numPr>
        <w:spacing w:after="90" w:line="276"/>
      </w:pPr>
      <w:r>
        <w:rPr>
          <w:rFonts w:ascii="Calibri" w:cs="Calibri" w:eastAsia="Calibri" w:hAnsi="Calibri"/>
          <w:sz w:val="22"/>
          <w:szCs w:val="22"/>
        </w:rPr>
        <w:t xml:space="preserve">Rates, target flags, counts, tonnes, anomaly and quality flags — </w:t>
      </w:r>
      <w:r>
        <w:rPr>
          <w:rFonts w:ascii="Calibri" w:cs="Calibri" w:eastAsia="Calibri" w:hAnsi="Calibri"/>
          <w:b/>
          <w:bCs/>
          <w:sz w:val="22"/>
          <w:szCs w:val="22"/>
        </w:rPr>
        <w:t xml:space="preserve">elv_gold.elv_country_year</w:t>
      </w:r>
      <w:r>
        <w:rPr>
          <w:rFonts w:ascii="Calibri" w:cs="Calibri" w:eastAsia="Calibri" w:hAnsi="Calibri"/>
          <w:sz w:val="22"/>
          <w:szCs w:val="22"/>
        </w:rPr>
        <w:t xml:space="preserve"> (fields reuse_recycling_rate, reuse_recovery_rate, target_met_recycling, target_met_recovery, anomaly_type, any_estimated, any_imputed, any_low_reliability, elv_count, elv_weight_tonnes)</w:t>
      </w:r>
    </w:p>
    <w:p>
      <w:pPr>
        <w:pStyle w:val="ListParagraph"/>
        <w:numPr>
          <w:ilvl w:val="0"/>
          <w:numId w:val="2"/>
        </w:numPr>
        <w:spacing w:after="90" w:line="276"/>
      </w:pPr>
      <w:r>
        <w:rPr>
          <w:rFonts w:ascii="Calibri" w:cs="Calibri" w:eastAsia="Calibri" w:hAnsi="Calibri"/>
          <w:sz w:val="22"/>
          <w:szCs w:val="22"/>
        </w:rPr>
        <w:t xml:space="preserve">Target thresholds and anomaly rule — </w:t>
      </w:r>
      <w:r>
        <w:rPr>
          <w:rFonts w:ascii="Calibri" w:cs="Calibri" w:eastAsia="Calibri" w:hAnsi="Calibri"/>
          <w:b/>
          <w:bCs/>
          <w:sz w:val="22"/>
          <w:szCs w:val="22"/>
        </w:rPr>
        <w:t xml:space="preserve">eu_elv/pipeline/sql/gold_elv_country_year.sql</w:t>
      </w:r>
      <w:r>
        <w:rPr>
          <w:rFonts w:ascii="Calibri" w:cs="Calibri" w:eastAsia="Calibri" w:hAnsi="Calibri"/>
          <w:sz w:val="22"/>
          <w:szCs w:val="22"/>
        </w:rPr>
        <w:t xml:space="preserve"> (&gt;= 85, &gt;= 95; flag when rate &gt; 100% or year-over-year swing &gt; 15 points)</w:t>
      </w:r>
    </w:p>
    <w:p>
      <w:pPr>
        <w:pStyle w:val="ListParagraph"/>
        <w:numPr>
          <w:ilvl w:val="0"/>
          <w:numId w:val="2"/>
        </w:numPr>
        <w:spacing w:after="90" w:line="276"/>
      </w:pPr>
      <w:r>
        <w:rPr>
          <w:rFonts w:ascii="Calibri" w:cs="Calibri" w:eastAsia="Calibri" w:hAnsi="Calibri"/>
          <w:sz w:val="22"/>
          <w:szCs w:val="22"/>
        </w:rPr>
        <w:t xml:space="preserve">Export share — </w:t>
      </w:r>
      <w:r>
        <w:rPr>
          <w:rFonts w:ascii="Calibri" w:cs="Calibri" w:eastAsia="Calibri" w:hAnsi="Calibri"/>
          <w:b/>
          <w:bCs/>
          <w:sz w:val="22"/>
          <w:szCs w:val="22"/>
        </w:rPr>
        <w:t xml:space="preserve">elv_silver.elv_detail</w:t>
      </w:r>
      <w:r>
        <w:rPr>
          <w:rFonts w:ascii="Calibri" w:cs="Calibri" w:eastAsia="Calibri" w:hAnsi="Calibri"/>
          <w:sz w:val="22"/>
          <w:szCs w:val="22"/>
        </w:rPr>
        <w:t xml:space="preserve">, field is_export_lens where operation_code = 'GEN' and unit_code = 'T'</w:t>
      </w:r>
    </w:p>
    <w:p>
      <w:pPr>
        <w:pStyle w:val="ListParagraph"/>
        <w:numPr>
          <w:ilvl w:val="0"/>
          <w:numId w:val="2"/>
        </w:numPr>
        <w:spacing w:after="90" w:line="276"/>
      </w:pPr>
      <w:r>
        <w:rPr>
          <w:rFonts w:ascii="Calibri" w:cs="Calibri" w:eastAsia="Calibri" w:hAnsi="Calibri"/>
          <w:sz w:val="22"/>
          <w:szCs w:val="22"/>
        </w:rPr>
        <w:t xml:space="preserve">Underlying observations — </w:t>
      </w:r>
      <w:r>
        <w:rPr>
          <w:rFonts w:ascii="Calibri" w:cs="Calibri" w:eastAsia="Calibri" w:hAnsi="Calibri"/>
          <w:b/>
          <w:bCs/>
          <w:sz w:val="22"/>
          <w:szCs w:val="22"/>
        </w:rPr>
        <w:t xml:space="preserve">elv_bronze.env_waselvt_api / env_waselv_api</w:t>
      </w:r>
      <w:r>
        <w:rPr>
          <w:rFonts w:ascii="Calibri" w:cs="Calibri" w:eastAsia="Calibri" w:hAnsi="Calibri"/>
          <w:sz w:val="22"/>
          <w:szCs w:val="22"/>
        </w:rPr>
        <w:t xml:space="preserve">, pulled from the Eurostat SDMX API by eu_elv/pipeline/fetch_bronze_api.py</w:t>
      </w:r>
    </w:p>
    <w:p>
      <w:pPr>
        <w:pStyle w:val="ListParagraph"/>
        <w:numPr>
          <w:ilvl w:val="0"/>
          <w:numId w:val="2"/>
        </w:numPr>
        <w:spacing w:after="180" w:line="276"/>
      </w:pPr>
      <w:r>
        <w:rPr>
          <w:rFonts w:ascii="Calibri" w:cs="Calibri" w:eastAsia="Calibri" w:hAnsi="Calibri"/>
          <w:sz w:val="22"/>
          <w:szCs w:val="22"/>
        </w:rPr>
        <w:t xml:space="preserve">Data-integrity check — </w:t>
      </w:r>
      <w:r>
        <w:rPr>
          <w:rFonts w:ascii="Calibri" w:cs="Calibri" w:eastAsia="Calibri" w:hAnsi="Calibri"/>
          <w:b/>
          <w:bCs/>
          <w:sz w:val="22"/>
          <w:szCs w:val="22"/>
        </w:rPr>
        <w:t xml:space="preserve">eu_elv/pipeline/diff_api_vs_raw.py</w:t>
      </w:r>
      <w:r>
        <w:rPr>
          <w:rFonts w:ascii="Calibri" w:cs="Calibri" w:eastAsia="Calibri" w:hAnsi="Calibri"/>
          <w:sz w:val="22"/>
          <w:szCs w:val="22"/>
        </w:rPr>
        <w:t xml:space="preserve"> (zero value differences against the hand-verified extract, with a negative control confirming the comparison detects differences)</w:t>
      </w:r>
    </w:p>
    <w:p>
      <w:pPr>
        <w:pStyle w:val="Heading1"/>
        <w:pBdr>
          <w:bottom w:val="single" w:color="1F4E5F" w:sz="6" w:space="4"/>
        </w:pBdr>
        <w:spacing w:after="150" w:before="300"/>
      </w:pPr>
      <w:r>
        <w:rPr>
          <w:rFonts w:ascii="Calibri" w:cs="Calibri" w:eastAsia="Calibri" w:hAnsi="Calibri"/>
          <w:b/>
          <w:bCs/>
          <w:color w:val="1F4E5F"/>
          <w:sz w:val="26"/>
          <w:szCs w:val="26"/>
        </w:rPr>
        <w:t xml:space="preserve">Runner-up</w:t>
      </w:r>
    </w:p>
    <w:p>
      <w:pPr>
        <w:spacing w:after="100" w:line="276"/>
      </w:pPr>
      <w:r>
        <w:rPr>
          <w:rFonts w:ascii="Calibri" w:cs="Calibri" w:eastAsia="Calibri" w:hAnsi="Calibri"/>
          <w:b/>
          <w:bCs/>
          <w:sz w:val="22"/>
          <w:szCs w:val="22"/>
        </w:rPr>
        <w:t xml:space="preserve">Runner-up country: </w:t>
      </w:r>
      <w:r>
        <w:rPr>
          <w:rFonts w:ascii="Calibri" w:cs="Calibri" w:eastAsia="Calibri" w:hAnsi="Calibri"/>
          <w:b/>
          <w:bCs/>
          <w:color w:val="1F4E5F"/>
          <w:sz w:val="22"/>
          <w:szCs w:val="22"/>
        </w:rPr>
        <w:t xml:space="preserve">Netherlands</w:t>
      </w:r>
    </w:p>
    <w:p>
      <w:pPr>
        <w:spacing w:after="180" w:line="276"/>
      </w:pPr>
      <w:r>
        <w:rPr>
          <w:rFonts w:ascii="Calibri" w:cs="Calibri" w:eastAsia="Calibri" w:hAnsi="Calibri"/>
          <w:sz w:val="22"/>
          <w:szCs w:val="22"/>
        </w:rPr>
        <w:t xml:space="preserve">It holds the longest both-target streak in the dataset (11 consecutive years, 2013–2023) and the highest 2023 recovery rate (98.7%) with equally clean data quality, but its 2023 recycling rate of 88.1% clears the 85% target by only 3.1 points, it missed that target in seven early years (2006–2012), and its 19.0% export share is nearly double Belgium's.</w:t>
      </w:r>
    </w:p>
    <w:p>
      <w:pPr>
        <w:pStyle w:val="Heading1"/>
        <w:pBdr>
          <w:bottom w:val="single" w:color="1F4E5F" w:sz="6" w:space="4"/>
        </w:pBdr>
        <w:spacing w:after="150" w:before="300"/>
      </w:pPr>
      <w:r>
        <w:rPr>
          <w:rFonts w:ascii="Calibri" w:cs="Calibri" w:eastAsia="Calibri" w:hAnsi="Calibri"/>
          <w:b/>
          <w:bCs/>
          <w:color w:val="1F4E5F"/>
          <w:sz w:val="26"/>
          <w:szCs w:val="26"/>
        </w:rPr>
        <w:t xml:space="preserve">Method note</w:t>
      </w:r>
    </w:p>
    <w:p>
      <w:pPr>
        <w:spacing w:after="120" w:line="276"/>
      </w:pPr>
      <w:r>
        <w:rPr>
          <w:rFonts w:ascii="Calibri" w:cs="Calibri" w:eastAsia="Calibri" w:hAnsi="Calibri"/>
          <w:color w:val="595959"/>
          <w:sz w:val="20"/>
          <w:szCs w:val="20"/>
        </w:rPr>
        <w:t xml:space="preserve">Countries were ranked on consistency, margin above target, and data quality rather than peak rate. Luxembourg posts the highest recent recycling average (96.7%) but was excluded as unrepresentative: 1,209 vehicles in 2023 and an 85.4% export share. Iceland, Germany, Czechia and Slovenia were excluded for undiagnosed anomalies or values above 100%. Romania (reporting stops after 2020), Croatia (from 2012) and Malta (from 2010) have incomplete series.</w:t>
      </w:r>
    </w:p>
    <w:p>
      <w:pPr>
        <w:sectPr>
          <w:pgSz w:w="12240" w:h="15840" w:orient="portrait"/>
          <w:pgMar w:top="1440" w:right="1440" w:bottom="1440" w:left="1440" w:header="708" w:footer="708" w:gutter="0"/>
          <w:pgNumType/>
          <w:docGrid w:linePitch="360"/>
        </w:sectPr>
      </w:pPr>
    </w:p>
    <w:p>
      <w:pPr>
        <w:spacing w:after="120"/>
      </w:pPr>
      <w:r>
        <w:rPr>
          <w:rFonts w:ascii="Calibri" w:cs="Calibri" w:eastAsia="Calibri" w:hAnsi="Calibri"/>
          <w:b/>
          <w:bCs/>
          <w:color w:val="1F4E5F"/>
          <w:sz w:val="26"/>
          <w:szCs w:val="26"/>
        </w:rPr>
        <w:t xml:space="preserve">Appendix — full country comparison</w:t>
      </w:r>
    </w:p>
    <w:p>
      <w:pPr>
        <w:spacing w:after="160" w:line="276"/>
      </w:pPr>
      <w:r>
        <w:rPr>
          <w:rFonts w:ascii="Calibri" w:cs="Calibri" w:eastAsia="Calibri" w:hAnsi="Calibri"/>
          <w:color w:val="595959"/>
          <w:sz w:val="18"/>
          <w:szCs w:val="18"/>
        </w:rPr>
        <w:t xml:space="preserve">All 30 reporting countries, ordered by percentage of years meeting the 85% recycling target. Missing counts are against the 19-year maximum span (2005–2023). Trend is the change from each country's first reported year to its latest. Belgium is highlighted.</w:t>
      </w:r>
    </w:p>
    <w:tbl>
      <w:tblPr>
        <w:tblW w:type="dxa" w:w="12960"/>
        <w:tblBorders>
          <w:top w:val="single" w:color="BFBFBF" w:sz="4"/>
          <w:left w:val="none"/>
          <w:bottom w:val="single" w:color="BFBFBF" w:sz="4"/>
          <w:right w:val="none"/>
          <w:insideH w:val="single" w:color="D9D9D9" w:sz="2"/>
          <w:insideV w:val="none"/>
        </w:tblBorders>
      </w:tblPr>
      <w:tblGrid>
        <w:gridCol w:w="1700"/>
        <w:gridCol w:w="1250"/>
        <w:gridCol w:w="700"/>
        <w:gridCol w:w="950"/>
        <w:gridCol w:w="950"/>
        <w:gridCol w:w="1550"/>
        <w:gridCol w:w="1550"/>
        <w:gridCol w:w="850"/>
        <w:gridCol w:w="850"/>
        <w:gridCol w:w="2610"/>
      </w:tblGrid>
      <w:tr>
        <w:trPr>
          <w:tblHeader/>
        </w:trPr>
        <w:tc>
          <w:tcPr>
            <w:tcW w:type="dxa" w:w="1700"/>
            <w:shd w:fill="E8EEF1" w:color="auto"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Country</w:t>
            </w:r>
          </w:p>
        </w:tc>
        <w:tc>
          <w:tcPr>
            <w:tcW w:type="dxa" w:w="12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Span</w:t>
            </w:r>
          </w:p>
        </w:tc>
        <w:tc>
          <w:tcPr>
            <w:tcW w:type="dxa" w:w="70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Miss</w:t>
            </w:r>
          </w:p>
        </w:tc>
        <w:tc>
          <w:tcPr>
            <w:tcW w:type="dxa" w:w="9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Latest recycling</w:t>
            </w:r>
          </w:p>
        </w:tc>
        <w:tc>
          <w:tcPr>
            <w:tcW w:type="dxa" w:w="9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Latest recovery</w:t>
            </w:r>
          </w:p>
        </w:tc>
        <w:tc>
          <w:tcPr>
            <w:tcW w:type="dxa" w:w="15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Recycling target met</w:t>
            </w:r>
          </w:p>
        </w:tc>
        <w:tc>
          <w:tcPr>
            <w:tcW w:type="dxa" w:w="15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Recovery target met</w:t>
            </w:r>
          </w:p>
        </w:tc>
        <w:tc>
          <w:tcPr>
            <w:tcW w:type="dxa" w:w="8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Trend recycling</w:t>
            </w:r>
          </w:p>
        </w:tc>
        <w:tc>
          <w:tcPr>
            <w:tcW w:type="dxa" w:w="85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Trend recovery</w:t>
            </w:r>
          </w:p>
        </w:tc>
        <w:tc>
          <w:tcPr>
            <w:tcW w:type="dxa" w:w="2610"/>
            <w:shd w:fill="E8EEF1" w:color="auto" w:val="clear"/>
            <w:tcMar>
              <w:top w:type="dxa" w:w="40"/>
              <w:left w:type="dxa" w:w="70"/>
              <w:bottom w:type="dxa" w:w="40"/>
              <w:right w:type="dxa" w:w="70"/>
            </w:tcMar>
          </w:tcPr>
          <w:p>
            <w:pPr>
              <w:spacing w:after="0" w:line="220"/>
              <w:jc w:val="right"/>
            </w:pPr>
            <w:r>
              <w:rPr>
                <w:rFonts w:ascii="Calibri" w:cs="Calibri" w:eastAsia="Calibri" w:hAnsi="Calibri"/>
                <w:b/>
                <w:bCs/>
                <w:sz w:val="16"/>
                <w:szCs w:val="16"/>
              </w:rPr>
              <w:t xml:space="preserve">Anomaly / quality flags</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Croatia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2012–2023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7</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97.6%</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12/12 (100%)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12/12 (100%)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-2.2</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1 est</w:t>
            </w:r>
          </w:p>
        </w:tc>
      </w:tr>
      <w:tr>
        <w:tc>
          <w:tcPr>
            <w:tcW w:type="dxa" w:w="1700"/>
            <w:tcMar>
              <w:top w:type="dxa" w:w="40"/>
              <w:left w:type="dxa" w:w="70"/>
              <w:bottom w:type="dxa" w:w="40"/>
              <w:right w:type="dxa" w:w="70"/>
            </w:tcMar>
          </w:tcPr>
          <w:p>
            <w:pPr>
              <w:spacing w:after="0" w:line="220"/>
            </w:pPr>
            <w:r>
              <w:rPr>
                <w:rFonts w:ascii="Calibri" w:cs="Calibri" w:eastAsia="Calibri" w:hAnsi="Calibri"/>
                <w:b/>
                <w:bCs/>
                <w:color w:val="1F4E5F"/>
                <w:sz w:val="16"/>
                <w:szCs w:val="16"/>
              </w:rPr>
              <w:t xml:space="preserve">Belgium</w:t>
            </w:r>
          </w:p>
        </w:tc>
        <w:tc>
          <w:tcPr>
            <w:tcW w:type="dxa" w:w="12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93.5%</w:t>
            </w:r>
          </w:p>
        </w:tc>
        <w:tc>
          <w:tcPr>
            <w:tcW w:type="dxa" w:w="9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97.7%</w:t>
            </w:r>
          </w:p>
        </w:tc>
        <w:tc>
          <w:tcPr>
            <w:tcW w:type="dxa" w:w="15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18/18 (100%)</w:t>
            </w:r>
          </w:p>
        </w:tc>
        <w:tc>
          <w:tcPr>
            <w:tcW w:type="dxa" w:w="15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9/18 (50%)</w:t>
            </w:r>
          </w:p>
        </w:tc>
        <w:tc>
          <w:tcPr>
            <w:tcW w:type="dxa" w:w="8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+5.8</w:t>
            </w:r>
          </w:p>
        </w:tc>
        <w:tc>
          <w:tcPr>
            <w:tcW w:type="dxa" w:w="850"/>
            <w:tcMar>
              <w:top w:type="dxa" w:w="40"/>
              <w:left w:type="dxa" w:w="70"/>
              <w:bottom w:type="dxa" w:w="40"/>
              <w:right w:type="dxa" w:w="70"/>
            </w:tcMar>
          </w:tcPr>
          <w:p>
            <w:pPr>
              <w:spacing w:after="0" w:line="220"/>
              <w:jc w:val="right"/>
            </w:pPr>
            <w:r>
              <w:rPr>
                <w:rFonts w:ascii="Calibri" w:cs="Calibri" w:eastAsia="Calibri" w:hAnsi="Calibri"/>
                <w:b/>
                <w:bCs/>
                <w:color w:val="1F4E5F"/>
                <w:sz w:val="16"/>
                <w:szCs w:val="16"/>
              </w:rPr>
              <w:t xml:space="preserve">+7.7</w:t>
            </w:r>
          </w:p>
        </w:tc>
        <w:tc>
          <w:tcPr>
            <w:tcW w:type="dxa" w:w="2610"/>
            <w:tcMar>
              <w:top w:type="dxa" w:w="40"/>
              <w:left w:type="dxa" w:w="70"/>
              <w:bottom w:type="dxa" w:w="40"/>
              <w:right w:type="dxa" w:w="70"/>
            </w:tcMar>
          </w:tcPr>
          <w:p>
            <w:pPr>
              <w:spacing w:after="0" w:line="220"/>
            </w:pPr>
            <w:r>
              <w:rPr>
                <w:rFonts w:ascii="Calibri" w:cs="Calibri" w:eastAsia="Calibri" w:hAnsi="Calibri"/>
                <w:b/>
                <w:bCs/>
                <w:color w:val="1F4E5F"/>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Lithuania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93.6%</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18/18 (100%)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+5.6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Germany</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86.1%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93.2%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17/18 (94%)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10/18 (56%)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5 undx, 5 &gt;100%</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Slovakia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95.9%</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97.3%</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17/18 (94%)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+13.1</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Latvia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96.6%</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96.7%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16/18 (89%)</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3/18 (17%)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Iceland</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2008–2023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95.5%</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95.5%</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14/16 (88%)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12/16 (75%)</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-2.8</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2 undx, 1 low</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Slovenia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88.5%</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94.3%</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15/17 (88%)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8/17 (47%)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5 undx, 4 &gt;100%</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Bulgaria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94.6%</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15/18 (83%)</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10/18 (56%)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+12.2</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+7.9</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Poland</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15/18 (83%)</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+12.0</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2 doc, 2 &gt;100%</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Luxembourg</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95.7%</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98.1%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13/18 (72%)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12/18 (67%)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+12.3</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Denmark</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83.2%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93.9%</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12/18 (67%)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6/18 (33%)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+3.2</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+13.9</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2 doc, 2 &gt;100%, 1 est</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Cyprus</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89.8%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99.2%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12/18 (67%)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6/18 (33%)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+4.4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+12.6</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Estonia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86.0%</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93.4%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12/18 (67%)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0/18 (0%)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+3.5</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+10.9</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1 imp</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Austria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87.4%</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11/18 (61%)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15/18 (83%)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+7.4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Netherlands</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88.1%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98.7%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11/18 (61%)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14/18 (78%)</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+5.6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+13.5</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Hungary</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92.2%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92.3%</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11/18 (61%)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+10.8</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1 est</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France</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89.0%</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96.7%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11/18 (61%)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5/18 (28%)</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Sweden</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87.1%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97.6%</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10/18 (56%)</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8/18 (44%)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+12.6</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Greece</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89.0%</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10/18 (56%)</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6/18 (33%)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+13.1</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2 doc, 3 undx, 2 &gt;100%, 2 est</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Norway</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88.2%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98.2%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10/18 (56%)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+5.2</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+14.2</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Czechia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88.8%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94.2%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8/18 (44%)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+9.8</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4 undx, 3 &gt;100%</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Spain</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85.9%</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93.7%</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9/18 (50%)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1/18 (6%)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+9.9</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Ireland</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89.5%</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97.2%</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8/18 (44%)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6/18 (33%)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+19.1</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Romania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2006–2020</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4</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85.4%</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91.6%</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6/15 (40%)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0/15 (0%)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+8.3</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+11.3</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Portugal</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2006–2023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89.8%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94.9%</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7/18 (39%)</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3/18 (17%)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+7.6</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+8.8</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Malta</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2010–2023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5</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62.8%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62.8%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4/14 (29%)</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1/14 (7%)</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1 doc, 5 undx, 1 low</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Liechtenstein</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2007–2023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87.2%</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97.4%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3/17 (18%)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3/17 (18%)</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+85.0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+91.1</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2 undx, 1 imp</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Italy</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2005–2023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85.8%</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85.8%</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2/19 (11%)</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0/19 (0%)</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+15.9</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+15.0</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Finland</w:t>
            </w:r>
          </w:p>
        </w:tc>
        <w:tc>
          <w:tcPr>
            <w:tcW w:type="dxa" w:w="12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2005–2023</w:t>
            </w:r>
          </w:p>
        </w:tc>
        <w:tc>
          <w:tcPr>
            <w:tcW w:type="dxa" w:w="70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84.9%</w:t>
            </w:r>
          </w:p>
        </w:tc>
        <w:tc>
          <w:tcPr>
            <w:tcW w:type="dxa" w:w="9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95.4%</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0/19 (0%)</w:t>
            </w:r>
          </w:p>
        </w:tc>
        <w:tc>
          <w:tcPr>
            <w:tcW w:type="dxa" w:w="15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14/19 (74%)</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+4.9</w:t>
            </w:r>
          </w:p>
        </w:tc>
        <w:tc>
          <w:tcPr>
            <w:tcW w:type="dxa" w:w="850"/>
            <w:tcMar>
              <w:top w:type="dxa" w:w="40"/>
              <w:left w:type="dxa" w:w="70"/>
              <w:bottom w:type="dxa" w:w="40"/>
              <w:right w:type="dxa" w:w="70"/>
            </w:tcMar>
          </w:tcPr>
          <w:p>
            <w:pPr>
              <w:spacing w:after="0" w:line="220"/>
              <w:jc w:val="right"/>
            </w:pPr>
            <w:r>
              <w:rPr>
                <w:rFonts w:ascii="Calibri" w:cs="Calibri" w:eastAsia="Calibri" w:hAnsi="Calibri"/>
                <w:b w:val="false"/>
                <w:bCs w:val="false"/>
                <w:sz w:val="16"/>
                <w:szCs w:val="16"/>
              </w:rPr>
              <w:t xml:space="preserve">+15.4</w:t>
            </w:r>
          </w:p>
        </w:tc>
        <w:tc>
          <w:tcPr>
            <w:tcW w:type="dxa" w:w="261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bl>
    <w:p>
      <w:pPr>
        <w:spacing w:after="0" w:line="276"/>
      </w:pPr>
      <w:r>
        <w:rPr>
          <w:rFonts w:ascii="Calibri" w:cs="Calibri" w:eastAsia="Calibri" w:hAnsi="Calibri"/>
          <w:color w:val="595959"/>
          <w:sz w:val="16"/>
          <w:szCs w:val="16"/>
        </w:rPr>
        <w:t xml:space="preserve">Flags: doc = documented anomaly · undx = flagged undiagnosed · &gt;100% = rate above 100 · est = estimated · imp = imputed · low = low reliability. Source: elv_gold.elv_country_year.</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2026-08-05T20:57:27.314Z</dcterms:created>
  <dcterms:modified xsi:type="dcterms:W3CDTF">2026-08-05T20:57:27.314Z</dcterms:modified>
</cp:coreProperties>
</file>

<file path=docProps/custom.xml><?xml version="1.0" encoding="utf-8"?>
<Properties xmlns="http://schemas.openxmlformats.org/officeDocument/2006/custom-properties" xmlns:vt="http://schemas.openxmlformats.org/officeDocument/2006/docPropsVTypes"/>
</file>