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27C70"/>
          <w:spacing w:val="40"/>
          <w:sz w:val="18"/>
          <w:szCs w:val="18"/>
        </w:rPr>
        <w:t xml:space="preserve">THE GLOBAL ELV RECYCLING GAP  |  CAPSTONE 2027</w:t>
      </w:r>
    </w:p>
    <w:p>
      <w:pPr>
        <w:spacing w:after="60"/>
      </w:pPr>
      <w:r>
        <w:rPr>
          <w:rFonts w:ascii="Cambria" w:cs="Cambria" w:eastAsia="Cambria" w:hAnsi="Cambria"/>
          <w:b/>
          <w:bCs/>
          <w:color w:val="141436"/>
          <w:sz w:val="40"/>
          <w:szCs w:val="40"/>
        </w:rPr>
        <w:t xml:space="preserve">Causal Assignment: Team Decision Brief</w:t>
      </w:r>
    </w:p>
    <w:p>
      <w:pPr>
        <w:pBdr>
          <w:bottom w:val="single" w:color="C9CEE0" w:sz="6" w:space="8"/>
        </w:pBdr>
        <w:spacing w:after="320"/>
      </w:pPr>
      <w:r>
        <w:rPr>
          <w:rFonts w:ascii="Calibri" w:cs="Calibri" w:eastAsia="Calibri" w:hAnsi="Calibri"/>
          <w:color w:val="595959"/>
          <w:sz w:val="24"/>
          <w:szCs w:val="24"/>
        </w:rPr>
        <w:t xml:space="preserve">Proposed case: scrap metal price and the reported EU recycling rate</w:t>
      </w:r>
    </w:p>
    <w:p>
      <w:pPr>
        <w:pStyle w:val="Heading1"/>
        <w:spacing w:after="160" w:before="320"/>
      </w:pPr>
      <w:r>
        <w:rPr>
          <w:rFonts w:ascii="Cambria" w:cs="Cambria" w:eastAsia="Cambria" w:hAnsi="Cambria"/>
          <w:b/>
          <w:bCs/>
          <w:color w:val="141436"/>
          <w:sz w:val="30"/>
          <w:szCs w:val="30"/>
        </w:rPr>
        <w:t xml:space="preserve">The claim</w:t>
      </w:r>
    </w:p>
    <w:p>
      <w:pPr>
        <w:spacing w:after="140" w:line="276"/>
      </w:pPr>
      <w:r>
        <w:rPr>
          <w:rFonts w:ascii="Calibri" w:cs="Calibri" w:eastAsia="Calibri" w:hAnsi="Calibri"/>
          <w:color w:val="000000"/>
          <w:sz w:val="22"/>
          <w:szCs w:val="22"/>
        </w:rPr>
        <w:t xml:space="preserve">Scrap metal prices move the reported EU recycling rate but do not move physical recycling. The correlation is a reporting timing artifact, so we argue the relationship is not causal.</w:t>
      </w:r>
    </w:p>
    <w:p>
      <w:pPr>
        <w:spacing w:after="140" w:line="276"/>
      </w:pPr>
      <w:r>
        <w:rPr>
          <w:rFonts w:ascii="Calibri" w:cs="Calibri" w:eastAsia="Calibri" w:hAnsi="Calibri"/>
          <w:color w:val="000000"/>
          <w:sz w:val="22"/>
          <w:szCs w:val="22"/>
        </w:rPr>
        <w:t xml:space="preserve">Be precise about the verdict, because precision is what wins this argument. Price does cause the published number to move. It does not cause any change in how vehicles are dismantled, shredded, or recovered.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700"/>
      </w:tblGrid>
      <w:tr>
        <w:trPr>
          <w:tblHeader/>
        </w:trPr>
        <w:tc>
          <w:tcPr>
            <w:tcW w:type="dxa" w:w="2200"/>
            <w:shd w:fill="141436" w:color="auto" w:val="clear"/>
            <w:tcMar>
              <w:top w:type="dxa" w:w="90"/>
              <w:left w:type="dxa" w:w="120"/>
              <w:bottom w:type="dxa" w:w="90"/>
              <w:right w:type="dxa" w:w="120"/>
            </w:tcMar>
          </w:tcPr>
          <w:p>
            <w:pPr>
              <w:spacing w:after="0" w:line="260"/>
            </w:pPr>
            <w:r>
              <w:rPr>
                <w:rFonts w:ascii="Calibri" w:cs="Calibri" w:eastAsia="Calibri" w:hAnsi="Calibri"/>
                <w:b/>
                <w:bCs/>
                <w:color w:val="FFFFFF"/>
                <w:sz w:val="21"/>
                <w:szCs w:val="21"/>
              </w:rPr>
              <w:t xml:space="preserve">Element</w:t>
            </w:r>
          </w:p>
        </w:tc>
        <w:tc>
          <w:tcPr>
            <w:tcW w:type="dxa" w:w="3100"/>
            <w:shd w:fill="141436" w:color="auto" w:val="clear"/>
            <w:tcMar>
              <w:top w:type="dxa" w:w="90"/>
              <w:left w:type="dxa" w:w="120"/>
              <w:bottom w:type="dxa" w:w="90"/>
              <w:right w:type="dxa" w:w="120"/>
            </w:tcMar>
          </w:tcPr>
          <w:p>
            <w:pPr>
              <w:spacing w:after="0" w:line="260"/>
            </w:pPr>
            <w:r>
              <w:rPr>
                <w:rFonts w:ascii="Calibri" w:cs="Calibri" w:eastAsia="Calibri" w:hAnsi="Calibri"/>
                <w:b/>
                <w:bCs/>
                <w:color w:val="FFFFFF"/>
                <w:sz w:val="21"/>
                <w:szCs w:val="21"/>
              </w:rPr>
              <w:t xml:space="preserve">Variable</w:t>
            </w:r>
          </w:p>
        </w:tc>
        <w:tc>
          <w:tcPr>
            <w:tcW w:type="dxa" w:w="3700"/>
            <w:shd w:fill="141436" w:color="auto" w:val="clear"/>
            <w:tcMar>
              <w:top w:type="dxa" w:w="90"/>
              <w:left w:type="dxa" w:w="120"/>
              <w:bottom w:type="dxa" w:w="90"/>
              <w:right w:type="dxa" w:w="120"/>
            </w:tcMar>
          </w:tcPr>
          <w:p>
            <w:pPr>
              <w:spacing w:after="0" w:line="260"/>
            </w:pPr>
            <w:r>
              <w:rPr>
                <w:rFonts w:ascii="Calibri" w:cs="Calibri" w:eastAsia="Calibri" w:hAnsi="Calibri"/>
                <w:b/>
                <w:bCs/>
                <w:color w:val="FFFFFF"/>
                <w:sz w:val="21"/>
                <w:szCs w:val="21"/>
              </w:rPr>
              <w:t xml:space="preserve">Source and detail</w:t>
            </w:r>
          </w:p>
        </w:tc>
      </w:tr>
      <w:tr>
        <w:tc>
          <w:tcPr>
            <w:tcW w:type="dxa" w:w="2200"/>
            <w:tcMar>
              <w:top w:type="dxa" w:w="90"/>
              <w:left w:type="dxa" w:w="120"/>
              <w:bottom w:type="dxa" w:w="90"/>
              <w:right w:type="dxa" w:w="120"/>
            </w:tcMar>
          </w:tcPr>
          <w:p>
            <w:pPr>
              <w:spacing w:after="0" w:line="260"/>
            </w:pPr>
            <w:r>
              <w:rPr>
                <w:rFonts w:ascii="Calibri" w:cs="Calibri" w:eastAsia="Calibri" w:hAnsi="Calibri"/>
                <w:b/>
                <w:bCs/>
                <w:color w:val="000000"/>
                <w:sz w:val="21"/>
                <w:szCs w:val="21"/>
              </w:rPr>
              <w:t xml:space="preserve">X</w:t>
            </w:r>
          </w:p>
        </w:tc>
        <w:tc>
          <w:tcPr>
            <w:tcW w:type="dxa" w:w="3100"/>
            <w:tcMar>
              <w:top w:type="dxa" w:w="90"/>
              <w:left w:type="dxa" w:w="120"/>
              <w:bottom w:type="dxa" w:w="90"/>
              <w:right w:type="dxa" w:w="120"/>
            </w:tcMar>
          </w:tcPr>
          <w:p>
            <w:pPr>
              <w:spacing w:after="0" w:line="260"/>
            </w:pPr>
            <w:r>
              <w:rPr>
                <w:rFonts w:ascii="Calibri" w:cs="Calibri" w:eastAsia="Calibri" w:hAnsi="Calibri"/>
                <w:color w:val="000000"/>
                <w:sz w:val="21"/>
                <w:szCs w:val="21"/>
              </w:rPr>
              <w:t xml:space="preserve">Scrap metal price</w:t>
            </w:r>
          </w:p>
        </w:tc>
        <w:tc>
          <w:tcPr>
            <w:tcW w:type="dxa" w:w="3700"/>
            <w:tcMar>
              <w:top w:type="dxa" w:w="90"/>
              <w:left w:type="dxa" w:w="120"/>
              <w:bottom w:type="dxa" w:w="90"/>
              <w:right w:type="dxa" w:w="120"/>
            </w:tcMar>
          </w:tcPr>
          <w:p>
            <w:pPr>
              <w:spacing w:after="0" w:line="260"/>
            </w:pPr>
            <w:r>
              <w:rPr>
                <w:rFonts w:ascii="Calibri" w:cs="Calibri" w:eastAsia="Calibri" w:hAnsi="Calibri"/>
                <w:color w:val="000000"/>
                <w:sz w:val="21"/>
                <w:szCs w:val="21"/>
              </w:rPr>
              <w:t>Eurostat Comext DS-045409, HS 7204 export unit value, EU aggregate, monthly, 1988 to present so 2005 to 2023 is covered. Free, no API key. Steel scrap CFR Turkey is the price dismantlers actually work against, but every publisher of it is subscription only, so it is not reproducible for this assignment.</w:t>
            </w:r>
          </w:p>
        </w:tc>
      </w:tr>
      <w:tr>
        <w:tc>
          <w:tcPr>
            <w:tcW w:type="dxa" w:w="2200"/>
            <w:shd w:fill="F2F4FA" w:color="auto" w:val="clear"/>
            <w:tcMar>
              <w:top w:type="dxa" w:w="90"/>
              <w:left w:type="dxa" w:w="120"/>
              <w:bottom w:type="dxa" w:w="90"/>
              <w:right w:type="dxa" w:w="120"/>
            </w:tcMar>
          </w:tcPr>
          <w:p>
            <w:pPr>
              <w:spacing w:after="0" w:line="260"/>
            </w:pPr>
            <w:r>
              <w:rPr>
                <w:rFonts w:ascii="Calibri" w:cs="Calibri" w:eastAsia="Calibri" w:hAnsi="Calibri"/>
                <w:b/>
                <w:bCs/>
                <w:color w:val="000000"/>
                <w:sz w:val="21"/>
                <w:szCs w:val="21"/>
              </w:rPr>
              <w:t xml:space="preserve">Y</w:t>
            </w:r>
          </w:p>
        </w:tc>
        <w:tc>
          <w:tcPr>
            <w:tcW w:type="dxa" w:w="3100"/>
            <w:shd w:fill="F2F4FA" w:color="auto" w:val="clear"/>
            <w:tcMar>
              <w:top w:type="dxa" w:w="90"/>
              <w:left w:type="dxa" w:w="120"/>
              <w:bottom w:type="dxa" w:w="90"/>
              <w:right w:type="dxa" w:w="120"/>
            </w:tcMar>
          </w:tcPr>
          <w:p>
            <w:pPr>
              <w:spacing w:after="0" w:line="260"/>
            </w:pPr>
            <w:r>
              <w:rPr>
                <w:rFonts w:ascii="Calibri" w:cs="Calibri" w:eastAsia="Calibri" w:hAnsi="Calibri"/>
                <w:color w:val="000000"/>
                <w:sz w:val="21"/>
                <w:szCs w:val="21"/>
              </w:rPr>
              <w:t xml:space="preserve">Reported reuse and recycling rate</w:t>
            </w:r>
          </w:p>
        </w:tc>
        <w:tc>
          <w:tcPr>
            <w:tcW w:type="dxa" w:w="3700"/>
            <w:shd w:fill="F2F4FA" w:color="auto" w:val="clear"/>
            <w:tcMar>
              <w:top w:type="dxa" w:w="90"/>
              <w:left w:type="dxa" w:w="120"/>
              <w:bottom w:type="dxa" w:w="90"/>
              <w:right w:type="dxa" w:w="120"/>
            </w:tcMar>
          </w:tcPr>
          <w:p>
            <w:pPr>
              <w:spacing w:after="0" w:line="260"/>
            </w:pPr>
            <w:r>
              <w:rPr>
                <w:rFonts w:ascii="Calibri" w:cs="Calibri" w:eastAsia="Calibri" w:hAnsi="Calibri"/>
                <w:color w:val="000000"/>
                <w:sz w:val="21"/>
                <w:szCs w:val="21"/>
              </w:rPr>
              <w:t xml:space="preserve">Eurostat env_waselvt, country and year, 2005 to 2023.</w:t>
            </w:r>
          </w:p>
        </w:tc>
      </w:tr>
      <w:tr>
        <w:tc>
          <w:tcPr>
            <w:tcW w:type="dxa" w:w="2200"/>
            <w:tcMar>
              <w:top w:type="dxa" w:w="90"/>
              <w:left w:type="dxa" w:w="120"/>
              <w:bottom w:type="dxa" w:w="90"/>
              <w:right w:type="dxa" w:w="120"/>
            </w:tcMar>
          </w:tcPr>
          <w:p>
            <w:pPr>
              <w:spacing w:after="0" w:line="260"/>
            </w:pPr>
            <w:r>
              <w:rPr>
                <w:rFonts w:ascii="Calibri" w:cs="Calibri" w:eastAsia="Calibri" w:hAnsi="Calibri"/>
                <w:b/>
                <w:bCs/>
                <w:color w:val="000000"/>
                <w:sz w:val="21"/>
                <w:szCs w:val="21"/>
              </w:rPr>
              <w:t xml:space="preserve">Observed</w:t>
            </w:r>
          </w:p>
        </w:tc>
        <w:tc>
          <w:tcPr>
            <w:tcW w:type="dxa" w:w="3100"/>
            <w:tcMar>
              <w:top w:type="dxa" w:w="90"/>
              <w:left w:type="dxa" w:w="120"/>
              <w:bottom w:type="dxa" w:w="90"/>
              <w:right w:type="dxa" w:w="120"/>
            </w:tcMar>
          </w:tcPr>
          <w:p>
            <w:pPr>
              <w:spacing w:after="0" w:line="260"/>
            </w:pPr>
            <w:r>
              <w:rPr>
                <w:rFonts w:ascii="Calibri" w:cs="Calibri" w:eastAsia="Calibri" w:hAnsi="Calibri"/>
                <w:color w:val="000000"/>
                <w:sz w:val="21"/>
                <w:szCs w:val="21"/>
              </w:rPr>
              <w:t xml:space="preserve">Negative co-movement in some countries</w:t>
            </w:r>
          </w:p>
        </w:tc>
        <w:tc>
          <w:tcPr>
            <w:tcW w:type="dxa" w:w="3700"/>
            <w:tcMar>
              <w:top w:type="dxa" w:w="90"/>
              <w:left w:type="dxa" w:w="120"/>
              <w:bottom w:type="dxa" w:w="90"/>
              <w:right w:type="dxa" w:w="120"/>
            </w:tcMar>
          </w:tcPr>
          <w:p>
            <w:pPr>
              <w:spacing w:after="0" w:line="260"/>
            </w:pPr>
            <w:r>
              <w:rPr>
                <w:rFonts w:ascii="Calibri" w:cs="Calibri" w:eastAsia="Calibri" w:hAnsi="Calibri"/>
                <w:color w:val="000000"/>
                <w:sz w:val="21"/>
                <w:szCs w:val="21"/>
              </w:rPr>
              <w:t xml:space="preserve">High price years show depressed reported rates, which rebound the year after.</w:t>
            </w:r>
          </w:p>
        </w:tc>
      </w:tr>
      <w:tr>
        <w:tc>
          <w:tcPr>
            <w:tcW w:type="dxa" w:w="2200"/>
            <w:shd w:fill="F2F4FA" w:color="auto" w:val="clear"/>
            <w:tcMar>
              <w:top w:type="dxa" w:w="90"/>
              <w:left w:type="dxa" w:w="120"/>
              <w:bottom w:type="dxa" w:w="90"/>
              <w:right w:type="dxa" w:w="120"/>
            </w:tcMar>
          </w:tcPr>
          <w:p>
            <w:pPr>
              <w:spacing w:after="0" w:line="260"/>
            </w:pPr>
            <w:r>
              <w:rPr>
                <w:rFonts w:ascii="Calibri" w:cs="Calibri" w:eastAsia="Calibri" w:hAnsi="Calibri"/>
                <w:b/>
                <w:bCs/>
                <w:color w:val="000000"/>
                <w:sz w:val="21"/>
                <w:szCs w:val="21"/>
              </w:rPr>
              <w:t xml:space="preserve">Our position</w:t>
            </w:r>
          </w:p>
        </w:tc>
        <w:tc>
          <w:tcPr>
            <w:tcW w:type="dxa" w:w="3100"/>
            <w:shd w:fill="F2F4FA" w:color="auto" w:val="clear"/>
            <w:tcMar>
              <w:top w:type="dxa" w:w="90"/>
              <w:left w:type="dxa" w:w="120"/>
              <w:bottom w:type="dxa" w:w="90"/>
              <w:right w:type="dxa" w:w="120"/>
            </w:tcMar>
          </w:tcPr>
          <w:p>
            <w:pPr>
              <w:spacing w:after="0" w:line="260"/>
            </w:pPr>
            <w:r>
              <w:rPr>
                <w:rFonts w:ascii="Calibri" w:cs="Calibri" w:eastAsia="Calibri" w:hAnsi="Calibri"/>
                <w:b/>
                <w:bCs/>
                <w:color w:val="000000"/>
                <w:sz w:val="21"/>
                <w:szCs w:val="21"/>
              </w:rPr>
              <w:t xml:space="preserve">Not causal</w:t>
            </w:r>
          </w:p>
        </w:tc>
        <w:tc>
          <w:tcPr>
            <w:tcW w:type="dxa" w:w="3700"/>
            <w:shd w:fill="F2F4FA" w:color="auto" w:val="clear"/>
            <w:tcMar>
              <w:top w:type="dxa" w:w="90"/>
              <w:left w:type="dxa" w:w="120"/>
              <w:bottom w:type="dxa" w:w="90"/>
              <w:right w:type="dxa" w:w="120"/>
            </w:tcMar>
          </w:tcPr>
          <w:p>
            <w:pPr>
              <w:spacing w:after="0" w:line="260"/>
            </w:pPr>
            <w:r>
              <w:rPr>
                <w:rFonts w:ascii="Calibri" w:cs="Calibri" w:eastAsia="Calibri" w:hAnsi="Calibri"/>
                <w:color w:val="000000"/>
                <w:sz w:val="21"/>
                <w:szCs w:val="21"/>
              </w:rPr>
              <w:t xml:space="preserve">Price moves the statistic through reporting timing, not through how vehicles are recycled.</w:t>
            </w:r>
          </w:p>
        </w:tc>
      </w:tr>
    </w:tbl>
    <w:p>
      <w:pPr>
        <w:spacing w:after="60" w:line="276"/>
      </w:pPr>
      <w:r>
        <w:rPr>
          <w:rFonts w:ascii="Calibri" w:cs="Calibri" w:eastAsia="Calibri" w:hAnsi="Calibri"/>
          <w:color w:val="000000"/>
          <w:sz w:val="22"/>
          <w:szCs w:val="22"/>
        </w:rPr>
        <w:t xml:space="preserve"/>
      </w:r>
    </w:p>
    <w:p>
      <w:pPr>
        <w:pStyle w:val="Heading1"/>
        <w:spacing w:after="160" w:before="320"/>
      </w:pPr>
      <w:r>
        <w:rPr>
          <w:rFonts w:ascii="Cambria" w:cs="Cambria" w:eastAsia="Cambria" w:hAnsi="Cambria"/>
          <w:b/>
          <w:bCs/>
          <w:color w:val="141436"/>
          <w:sz w:val="30"/>
          <w:szCs w:val="30"/>
        </w:rPr>
        <w:t xml:space="preserve">Why this case should get the slot</w:t>
      </w:r>
    </w:p>
    <w:p>
      <w:pPr>
        <w:pStyle w:val="ListParagraph"/>
        <w:numPr>
          <w:ilvl w:val="0"/>
          <w:numId w:val="2"/>
        </w:numPr>
        <w:spacing w:after="120" w:line="276"/>
      </w:pPr>
      <w:r>
        <w:rPr>
          <w:rFonts w:ascii="Calibri" w:cs="Calibri" w:eastAsia="Calibri" w:hAnsi="Calibri"/>
          <w:b/>
          <w:bCs/>
          <w:sz w:val="22"/>
          <w:szCs w:val="22"/>
        </w:rPr>
        <w:t xml:space="preserve">The evidence already exists in our validated data. </w:t>
      </w:r>
      <w:r>
        <w:rPr>
          <w:rFonts w:ascii="Calibri" w:cs="Calibri" w:eastAsia="Calibri" w:hAnsi="Calibri"/>
          <w:sz w:val="22"/>
          <w:szCs w:val="22"/>
        </w:rPr>
        <w:t xml:space="preserve">Malta 2023 falls to 62.8 percent, more than 20 points under the 85 percent target. Greece 2019 sits at 69.7 percent. Eurostat attributes both to operators holding hulks in storage while waiting for better resale pricing. We did not have to go looking for an anomaly.</w:t>
      </w:r>
    </w:p>
    <w:p>
      <w:pPr>
        <w:pStyle w:val="ListParagraph"/>
        <w:numPr>
          <w:ilvl w:val="0"/>
          <w:numId w:val="2"/>
        </w:numPr>
        <w:spacing w:after="120" w:line="276"/>
      </w:pPr>
      <w:r>
        <w:rPr>
          <w:rFonts w:ascii="Calibri" w:cs="Calibri" w:eastAsia="Calibri" w:hAnsi="Calibri"/>
          <w:b/>
          <w:bCs/>
          <w:sz w:val="22"/>
          <w:szCs w:val="22"/>
        </w:rPr>
        <w:t>The data is in hand and already proven. env_waselvt at 4,305 rows covering 2005 to 2023, and env_waselv at 30,268 rows, pulled through the API into BigQuery and value-level diffed against the manual download with zero differences on shared fields. One external join is needed and it is now sourced: Eurostat Comext DS-045409, HS 7204, free, no API key, endpoint and key structure verified against the live API. No new vendor, no scraping, no access request.</w:t>
      </w:r>
      <w:r>
        <w:rPr>
          <w:rFonts w:ascii="Calibri" w:cs="Calibri" w:eastAsia="Calibri" w:hAnsi="Calibri"/>
          <w:sz w:val="22"/>
          <w:szCs w:val="22"/>
        </w:rPr>
      </w:r>
    </w:p>
    <w:p>
      <w:pPr>
        <w:pStyle w:val="ListParagraph"/>
        <w:numPr>
          <w:ilvl w:val="0"/>
          <w:numId w:val="2"/>
        </w:numPr>
        <w:spacing w:after="120" w:line="276"/>
      </w:pPr>
      <w:r>
        <w:rPr>
          <w:rFonts w:ascii="Calibri" w:cs="Calibri" w:eastAsia="Calibri" w:hAnsi="Calibri"/>
          <w:b/>
          <w:bCs/>
          <w:sz w:val="22"/>
          <w:szCs w:val="22"/>
        </w:rPr>
        <w:t xml:space="preserve">It makes a prediction that can fail. </w:t>
      </w:r>
      <w:r>
        <w:rPr>
          <w:rFonts w:ascii="Calibri" w:cs="Calibri" w:eastAsia="Calibri" w:hAnsi="Calibri"/>
          <w:sz w:val="22"/>
          <w:szCs w:val="22"/>
        </w:rPr>
        <w:t xml:space="preserve">If the timing story is right, the shortfall reappears in t+1 and the two-year cumulative effect is near zero. If it is wrong, the level shift persists. The assignment grades the strength of the argument, and a falsifiable test beats a plausible narrative.</w:t>
      </w:r>
    </w:p>
    <w:p>
      <w:pPr>
        <w:pStyle w:val="ListParagraph"/>
        <w:numPr>
          <w:ilvl w:val="0"/>
          <w:numId w:val="2"/>
        </w:numPr>
        <w:spacing w:after="120" w:line="276"/>
      </w:pPr>
      <w:r>
        <w:rPr>
          <w:rFonts w:ascii="Calibri" w:cs="Calibri" w:eastAsia="Calibri" w:hAnsi="Calibri"/>
          <w:b/>
          <w:bCs/>
          <w:sz w:val="22"/>
          <w:szCs w:val="22"/>
        </w:rPr>
        <w:t xml:space="preserve">It advances the capstone rather than sitting beside it. </w:t>
      </w:r>
      <w:r>
        <w:rPr>
          <w:rFonts w:ascii="Calibri" w:cs="Calibri" w:eastAsia="Calibri" w:hAnsi="Calibri"/>
          <w:sz w:val="22"/>
          <w:szCs w:val="22"/>
        </w:rPr>
        <w:t xml:space="preserve">Our finding across six workstreams is that the data stops at the border. This is the same problem one layer in: the compliance statistic can move without the physical outcome moving. Measurement gap and recycling gap are the same argument.</w:t>
      </w:r>
    </w:p>
    <w:p>
      <w:pPr>
        <w:pStyle w:val="ListParagraph"/>
        <w:numPr>
          <w:ilvl w:val="0"/>
          <w:numId w:val="2"/>
        </w:numPr>
        <w:spacing w:after="120" w:line="276"/>
      </w:pPr>
      <w:r>
        <w:rPr>
          <w:rFonts w:ascii="Calibri" w:cs="Calibri" w:eastAsia="Calibri" w:hAnsi="Calibri"/>
          <w:b/>
          <w:bCs/>
          <w:sz w:val="22"/>
          <w:szCs w:val="22"/>
        </w:rPr>
        <w:t xml:space="preserve">Scope is small enough to finish. </w:t>
      </w:r>
      <w:r>
        <w:rPr>
          <w:rFonts w:ascii="Calibri" w:cs="Calibri" w:eastAsia="Calibri" w:hAnsi="Calibri"/>
          <w:sz w:val="22"/>
          <w:szCs w:val="22"/>
        </w:rPr>
        <w:t xml:space="preserve">A country-year panel, roughly 27 countries over 19 years, running on what is already in elv_bronze.</w:t>
      </w:r>
    </w:p>
    <w:p>
      <w:pPr>
        <w:pStyle w:val="Heading1"/>
        <w:spacing w:after="160" w:before="320"/>
      </w:pPr>
      <w:r>
        <w:rPr>
          <w:rFonts w:ascii="Cambria" w:cs="Cambria" w:eastAsia="Cambria" w:hAnsi="Cambria"/>
          <w:b/>
          <w:bCs/>
          <w:color w:val="141436"/>
          <w:sz w:val="30"/>
          <w:szCs w:val="30"/>
        </w:rPr>
        <w:t xml:space="preserve">The mechanism</w:t>
      </w:r>
    </w:p>
    <w:p>
      <w:pPr>
        <w:spacing w:after="140" w:line="276"/>
      </w:pPr>
      <w:r>
        <w:rPr>
          <w:rFonts w:ascii="Calibri" w:cs="Calibri" w:eastAsia="Calibri" w:hAnsi="Calibri"/>
          <w:color w:val="000000"/>
          <w:sz w:val="22"/>
          <w:szCs w:val="22"/>
        </w:rPr>
        <w:t xml:space="preserve">The number moves because the denominator moves, not because recovery efficiency changes.</w:t>
      </w:r>
    </w:p>
    <w:p>
      <w:pPr>
        <w:pStyle w:val="ListParagraph"/>
        <w:numPr>
          <w:ilvl w:val="0"/>
          <w:numId w:val="3"/>
        </w:numPr>
        <w:spacing w:after="120" w:line="276"/>
      </w:pPr>
      <w:r>
        <w:rPr>
          <w:rFonts w:ascii="Calibri" w:cs="Calibri" w:eastAsia="Calibri" w:hAnsi="Calibri"/>
          <w:sz w:val="22"/>
          <w:szCs w:val="22"/>
        </w:rPr>
        <w:t xml:space="preserve">Price rises, and operators expect a better return on hulks held a few months longer.</w:t>
      </w:r>
    </w:p>
    <w:p>
      <w:pPr>
        <w:pStyle w:val="ListParagraph"/>
        <w:numPr>
          <w:ilvl w:val="0"/>
          <w:numId w:val="3"/>
        </w:numPr>
        <w:spacing w:after="120" w:line="276"/>
      </w:pPr>
      <w:r>
        <w:rPr>
          <w:rFonts w:ascii="Calibri" w:cs="Calibri" w:eastAsia="Calibri" w:hAnsi="Calibri"/>
          <w:sz w:val="22"/>
          <w:szCs w:val="22"/>
        </w:rPr>
        <w:t xml:space="preserve">Vehicles are stored rather than processed. The hulk still exists. It has simply not entered the processing count yet.</w:t>
      </w:r>
    </w:p>
    <w:p>
      <w:pPr>
        <w:pStyle w:val="ListParagraph"/>
        <w:numPr>
          <w:ilvl w:val="0"/>
          <w:numId w:val="3"/>
        </w:numPr>
        <w:spacing w:after="120" w:line="276"/>
      </w:pPr>
      <w:r>
        <w:rPr>
          <w:rFonts w:ascii="Calibri" w:cs="Calibri" w:eastAsia="Calibri" w:hAnsi="Calibri"/>
          <w:sz w:val="22"/>
          <w:szCs w:val="22"/>
        </w:rPr>
        <w:t xml:space="preserve">Reported tonnage falls this year. The rate is recovered mass over processed mass, so less enters the denominator on schedule.</w:t>
      </w:r>
    </w:p>
    <w:p>
      <w:pPr>
        <w:pStyle w:val="ListParagraph"/>
        <w:numPr>
          <w:ilvl w:val="0"/>
          <w:numId w:val="3"/>
        </w:numPr>
        <w:spacing w:after="120" w:line="276"/>
      </w:pPr>
      <w:r>
        <w:rPr>
          <w:rFonts w:ascii="Calibri" w:cs="Calibri" w:eastAsia="Calibri" w:hAnsi="Calibri"/>
          <w:sz w:val="22"/>
          <w:szCs w:val="22"/>
        </w:rPr>
        <w:t xml:space="preserve">The rate rebounds next year as deferred tonnage is processed and reported. Recovery per vehicle never changed.</w:t>
      </w:r>
    </w:p>
    <w:p>
      <w:pPr>
        <w:spacing w:after="140" w:line="276"/>
      </w:pPr>
      <w:r>
        <w:rPr>
          <w:rFonts w:ascii="Calibri" w:cs="Calibri" w:eastAsia="Calibri" w:hAnsi="Calibri"/>
          <w:b/>
          <w:bCs/>
          <w:color w:val="000000"/>
          <w:sz w:val="22"/>
          <w:szCs w:val="22"/>
        </w:rPr>
        <w:t xml:space="preserve">Mass conservation is the crux. </w:t>
      </w:r>
      <w:r>
        <w:rPr>
          <w:rFonts w:ascii="Calibri" w:cs="Calibri" w:eastAsia="Calibri" w:hAnsi="Calibri"/>
          <w:color w:val="000000"/>
          <w:sz w:val="22"/>
          <w:szCs w:val="22"/>
        </w:rPr>
        <w:t xml:space="preserve">A vehicle parked in a yard in December is recycled the same way in March. Tonnage is deferred across a reporting boundary, not destroyed, diverted, or treated differently.</w:t>
      </w:r>
    </w:p>
    <w:p>
      <w:pPr>
        <w:pStyle w:val="Heading1"/>
        <w:spacing w:after="160" w:before="320"/>
      </w:pPr>
      <w:r>
        <w:rPr>
          <w:rFonts w:ascii="Cambria" w:cs="Cambria" w:eastAsia="Cambria" w:hAnsi="Cambria"/>
          <w:b/>
          <w:bCs/>
          <w:color w:val="141436"/>
          <w:sz w:val="30"/>
          <w:szCs w:val="30"/>
        </w:rPr>
        <w:t xml:space="preserve">How we would make the argument</w:t>
      </w:r>
    </w:p>
    <w:p>
      <w:pPr>
        <w:spacing w:after="140" w:line="276"/>
      </w:pPr>
      <w:r>
        <w:rPr>
          <w:rFonts w:ascii="Calibri" w:cs="Calibri" w:eastAsia="Calibri" w:hAnsi="Calibri"/>
          <w:color w:val="000000"/>
          <w:sz w:val="22"/>
          <w:szCs w:val="22"/>
        </w:rPr>
        <w:t xml:space="preserve">Methods from class, in the order we would present them.</w:t>
      </w:r>
    </w:p>
    <w:p>
      <w:pPr>
        <w:spacing w:after="140" w:line="276"/>
      </w:pPr>
      <w:r>
        <w:rPr>
          <w:rFonts w:ascii="Calibri" w:cs="Calibri" w:eastAsia="Calibri" w:hAnsi="Calibri"/>
          <w:b/>
          <w:bCs/>
          <w:color w:val="000000"/>
          <w:sz w:val="22"/>
          <w:szCs w:val="22"/>
        </w:rPr>
        <w:t>Two-way fixed effects with differential exposure. Country and year fixed effects, so each country is compared to itself and global price cycles are absorbed. Note the trap and handle it openly: scrap price is close to common across countries, so year fixed effects would absorb it. Identification has to come from differential exposure to a common price shock, interacted with price. Checking the sources changed two things here. Exposure has to be operator concentration, because permitted storage capacity is not harmonised in any EU source. And the price has to be an EU aggregate rather than each country's own, because if operators really do stockpile then a country's own export unit value is partly an outcome of the behaviour we are trying to explain, which would put a consequence of the dependent variable on the right hand side. A common price costs us nothing, since identification was always coming from the interaction rather than from price alone. If we want country level price variation we build it leave one out, using the EU unit value computed excluding that country's own trade.</w:t>
      </w:r>
      <w:r>
        <w:rPr>
          <w:rFonts w:ascii="Calibri" w:cs="Calibri" w:eastAsia="Calibri" w:hAnsi="Calibri"/>
          <w:color w:val="000000"/>
          <w:sz w:val="22"/>
          <w:szCs w:val="22"/>
        </w:rPr>
      </w:r>
    </w:p>
    <w:p>
      <w:pPr>
        <w:spacing w:after="140" w:line="276"/>
      </w:pPr>
      <w:r>
        <w:rPr>
          <w:rFonts w:ascii="Calibri" w:cs="Calibri" w:eastAsia="Calibri" w:hAnsi="Calibri"/>
          <w:b/>
          <w:bCs/>
          <w:color w:val="000000"/>
          <w:sz w:val="22"/>
          <w:szCs w:val="22"/>
        </w:rPr>
        <w:t xml:space="preserve">Mean reversion test, the centerpiece. </w:t>
      </w:r>
      <w:r>
        <w:rPr>
          <w:rFonts w:ascii="Calibri" w:cs="Calibri" w:eastAsia="Calibri" w:hAnsi="Calibri"/>
          <w:color w:val="000000"/>
          <w:sz w:val="22"/>
          <w:szCs w:val="22"/>
        </w:rPr>
        <w:t xml:space="preserve">Regress the rate at t+1 on the price shock at t. If the artifact story is right, the coefficient flips sign and the cumulative two-year effect is approximately zero. If the causal story were right, the level shift persists. This single test carries the argument.</w:t>
      </w:r>
    </w:p>
    <w:p>
      <w:pPr>
        <w:spacing w:after="140" w:line="276"/>
      </w:pPr>
      <w:r>
        <w:rPr>
          <w:rFonts w:ascii="Calibri" w:cs="Calibri" w:eastAsia="Calibri" w:hAnsi="Calibri"/>
          <w:b/>
          <w:bCs/>
          <w:color w:val="000000"/>
          <w:sz w:val="22"/>
          <w:szCs w:val="22"/>
        </w:rPr>
        <w:t xml:space="preserve">Event study around price spikes. </w:t>
      </w:r>
      <w:r>
        <w:rPr>
          <w:rFonts w:ascii="Calibri" w:cs="Calibri" w:eastAsia="Calibri" w:hAnsi="Calibri"/>
          <w:color w:val="000000"/>
          <w:sz w:val="22"/>
          <w:szCs w:val="22"/>
        </w:rPr>
        <w:t xml:space="preserve">Leads and lags to show no pre-trend and full recovery within one or two periods.</w:t>
      </w:r>
    </w:p>
    <w:p>
      <w:pPr>
        <w:spacing w:after="140" w:line="276"/>
      </w:pPr>
      <w:r>
        <w:rPr>
          <w:rFonts w:ascii="Calibri" w:cs="Calibri" w:eastAsia="Calibri" w:hAnsi="Calibri"/>
          <w:b/>
          <w:bCs/>
          <w:color w:val="000000"/>
          <w:sz w:val="22"/>
          <w:szCs w:val="22"/>
        </w:rPr>
        <w:t xml:space="preserve">Numerator and denominator decomposition. </w:t>
      </w:r>
      <w:r>
        <w:rPr>
          <w:rFonts w:ascii="Calibri" w:cs="Calibri" w:eastAsia="Calibri" w:hAnsi="Calibri"/>
          <w:color w:val="000000"/>
          <w:sz w:val="22"/>
          <w:szCs w:val="22"/>
        </w:rPr>
        <w:t xml:space="preserve">Using env_waselv tonnages, show the movement is in what entered processing, not in recovery share per unit.</w:t>
      </w:r>
    </w:p>
    <w:p>
      <w:pPr>
        <w:spacing w:after="140" w:line="276"/>
      </w:pPr>
      <w:r>
        <w:rPr>
          <w:rFonts w:ascii="Calibri" w:cs="Calibri" w:eastAsia="Calibri" w:hAnsi="Calibri"/>
          <w:b/>
          <w:bCs/>
          <w:color w:val="000000"/>
          <w:sz w:val="22"/>
          <w:szCs w:val="22"/>
        </w:rPr>
        <w:t>Placebo on unconcentrated markets. Predict a null where many operators compete. This was originally framed as a placebo on countries with no storage slack, but permitted storage capacity does not exist as a harmonised EU statistic, so operator concentration stands in for it. A null there alongside an effect in Malta and Greece is much harder to explain with a behavioral story than with an accounting one.</w:t>
      </w:r>
      <w:r>
        <w:rPr>
          <w:rFonts w:ascii="Calibri" w:cs="Calibri" w:eastAsia="Calibri" w:hAnsi="Calibri"/>
          <w:color w:val="000000"/>
          <w:sz w:val="22"/>
          <w:szCs w:val="22"/>
        </w:rPr>
      </w:r>
    </w:p>
    <w:p>
      <w:pPr>
        <w:spacing w:after="140" w:line="276"/>
      </w:pPr>
      <w:r>
        <w:rPr>
          <w:rFonts w:ascii="Calibri" w:cs="Calibri" w:eastAsia="Calibri" w:hAnsi="Calibri"/>
          <w:b/>
          <w:bCs/>
          <w:color w:val="000000"/>
          <w:sz w:val="22"/>
          <w:szCs w:val="22"/>
        </w:rPr>
        <w:t xml:space="preserve">Why not instrumental variables. </w:t>
      </w:r>
      <w:r>
        <w:rPr>
          <w:rFonts w:ascii="Calibri" w:cs="Calibri" w:eastAsia="Calibri" w:hAnsi="Calibri"/>
          <w:color w:val="000000"/>
          <w:sz w:val="22"/>
          <w:szCs w:val="22"/>
        </w:rPr>
        <w:t xml:space="preserve">Scrap price looks like an attractive instrument for recycling behavior and fails the exclusion restriction, for exactly the reason this case argues: it has a direct channel into the reported outcome through reporting timing. Showing that we considered IV and rejected it is more persuasive than proposing one.</w:t>
      </w:r>
    </w:p>
    <w:p>
      <w:pPr>
        <w:pStyle w:val="Heading1"/>
        <w:spacing w:after="160" w:before="320"/>
      </w:pPr>
      <w:r>
        <w:rPr>
          <w:rFonts w:ascii="Cambria" w:cs="Cambria" w:eastAsia="Cambria" w:hAnsi="Cambria"/>
          <w:b/>
          <w:bCs/>
          <w:color w:val="141436"/>
          <w:sz w:val="30"/>
          <w:szCs w:val="30"/>
        </w:rPr>
        <w:t xml:space="preserve">Alternatives we considered and why they lose</w:t>
      </w:r>
    </w:p>
    <w:p>
      <w:pPr>
        <w:pStyle w:val="ListParagraph"/>
        <w:numPr>
          <w:ilvl w:val="0"/>
          <w:numId w:val="4"/>
        </w:numPr>
        <w:spacing w:after="100" w:line="276"/>
      </w:pPr>
      <w:r>
        <w:rPr>
          <w:rFonts w:ascii="Calibri" w:cs="Calibri" w:eastAsia="Calibri" w:hAnsi="Calibri"/>
          <w:sz w:val="22"/>
          <w:szCs w:val="22"/>
        </w:rPr>
        <w:t xml:space="preserve">EU directive becoming a regulation in July 2026. No post-treatment outcome data exists yet, and the change arrives as a package of provisions, so no single one can be identified.</w:t>
      </w:r>
    </w:p>
    <w:p>
      <w:pPr>
        <w:pStyle w:val="ListParagraph"/>
        <w:numPr>
          <w:ilvl w:val="0"/>
          <w:numId w:val="4"/>
        </w:numPr>
        <w:spacing w:after="100" w:line="276"/>
      </w:pPr>
      <w:r>
        <w:rPr>
          <w:rFonts w:ascii="Calibri" w:cs="Calibri" w:eastAsia="Calibri" w:hAnsi="Calibri"/>
          <w:sz w:val="22"/>
          <w:szCs w:val="22"/>
        </w:rPr>
        <w:t xml:space="preserve">Singapore exports causing lower domestic recycling. Good mechanism, but trade diversion to Indonesia, Brunei and Malaysia weakens the first stage, and the origin attribution gap means importer-side data cannot confirm the diversion.</w:t>
      </w:r>
    </w:p>
    <w:p>
      <w:pPr>
        <w:pStyle w:val="ListParagraph"/>
        <w:numPr>
          <w:ilvl w:val="0"/>
          <w:numId w:val="4"/>
        </w:numPr>
        <w:spacing w:after="100" w:line="276"/>
      </w:pPr>
      <w:r>
        <w:rPr>
          <w:rFonts w:ascii="Calibri" w:cs="Calibri" w:eastAsia="Calibri" w:hAnsi="Calibri"/>
          <w:sz w:val="22"/>
          <w:szCs w:val="22"/>
        </w:rPr>
        <w:t xml:space="preserve">Scrap price as an instrument for recycling behavior. Fails the exclusion restriction, for the reason above. That failure is our finding, not a dead end.</w:t>
      </w:r>
    </w:p>
    <w:p>
      <w:pPr>
        <w:spacing w:after="140" w:line="276"/>
      </w:pPr>
      <w:r>
        <w:rPr>
          <w:rFonts w:ascii="Calibri" w:cs="Calibri" w:eastAsia="Calibri" w:hAnsi="Calibri"/>
          <w:i/>
          <w:iCs/>
          <w:color w:val="595959"/>
          <w:sz w:val="22"/>
          <w:szCs w:val="22"/>
        </w:rPr>
        <w:t xml:space="preserve">Showing the rejected candidates is worth points on its own. It demonstrates the choice was made on identification grounds rather than convenience.</w:t>
      </w:r>
    </w:p>
    <w:p>
      <w:pPr>
        <w:pStyle w:val="Heading1"/>
        <w:spacing w:after="160" w:before="320"/>
      </w:pPr>
      <w:r>
        <w:rPr>
          <w:rFonts w:ascii="Cambria" w:cs="Cambria" w:eastAsia="Cambria" w:hAnsi="Cambria"/>
          <w:b/>
          <w:bCs/>
          <w:color w:val="141436"/>
          <w:sz w:val="30"/>
          <w:szCs w:val="30"/>
        </w:rPr>
        <w:t xml:space="preserve">What we are not hiding</w:t>
      </w:r>
    </w:p>
    <w:p>
      <w:pPr>
        <w:pStyle w:val="ListParagraph"/>
        <w:numPr>
          <w:ilvl w:val="0"/>
          <w:numId w:val="4"/>
        </w:numPr>
        <w:spacing w:after="100" w:line="276"/>
      </w:pPr>
      <w:r>
        <w:rPr>
          <w:rFonts w:ascii="Calibri" w:cs="Calibri" w:eastAsia="Calibri" w:hAnsi="Calibri"/>
          <w:sz w:val="22"/>
          <w:szCs w:val="22"/>
        </w:rPr>
        <w:t xml:space="preserve">The stockpiling attribution comes from Eurostat metadata, so it is what we are testing, not what we already own.</w:t>
      </w:r>
    </w:p>
    <w:p>
      <w:pPr>
        <w:pStyle w:val="ListParagraph"/>
        <w:numPr>
          <w:ilvl w:val="0"/>
          <w:numId w:val="4"/>
        </w:numPr>
        <w:spacing w:after="100" w:line="276"/>
      </w:pPr>
      <w:r>
        <w:rPr>
          <w:rFonts w:ascii="Calibri" w:cs="Calibri" w:eastAsia="Calibri" w:hAnsi="Calibri"/>
          <w:sz w:val="22"/>
          <w:szCs w:val="22"/>
        </w:rPr>
        <w:t xml:space="preserve">2023 is the last published year, so Malta's rebound is an out-of-sample prediction rather than a confirmed result. Greece 2019 can be tested in full.</w:t>
      </w:r>
    </w:p>
    <w:p>
      <w:pPr>
        <w:pStyle w:val="ListParagraph"/>
        <w:numPr>
          <w:ilvl w:val="0"/>
          <w:numId w:val="4"/>
        </w:numPr>
        <w:spacing w:after="100" w:line="276"/>
      </w:pPr>
      <w:r>
        <w:rPr>
          <w:rFonts w:ascii="Calibri" w:cs="Calibri" w:eastAsia="Calibri" w:hAnsi="Calibri"/>
          <w:sz w:val="22"/>
          <w:szCs w:val="22"/>
        </w:rPr>
        <w:t>Effective variation is narrower than 27 countries by 19 years suggests, since the mechanism only bites where storage slack exists, and storage slack cannot be measured directly. We proxy it with operator concentration and should say so rather than imply we observe it.</w:t>
      </w:r>
    </w:p>
    <w:p>
      <w:pPr>
        <w:pStyle w:val="ListParagraph"/>
        <w:numPr>
          <w:ilvl w:val="0"/>
          <w:numId w:val="4"/>
        </w:numPr>
        <w:spacing w:after="100" w:line="276"/>
      </w:pPr>
      <w:r>
        <w:rPr>
          <w:rFonts w:ascii="Calibri" w:cs="Calibri" w:eastAsia="Calibri" w:hAnsi="Calibri"/>
          <w:sz w:val="22"/>
          <w:szCs w:val="22"/>
        </w:rPr>
        <w:t>The scrap price series is a derived export unit value, not a true price. It moves with grade mix and destination mix as well as with price. The benchmark we would have preferred, steel scrap CFR Turkey, is subscription only at every publisher that carries it.</w:t>
      </w:r>
    </w:p>
    <w:p>
      <w:pPr>
        <w:pStyle w:val="Heading1"/>
        <w:spacing w:after="160" w:before="320"/>
      </w:pPr>
      <w:r>
        <w:rPr>
          <w:rFonts w:ascii="Cambria" w:cs="Cambria" w:eastAsia="Cambria" w:hAnsi="Cambria"/>
          <w:b/>
          <w:bCs/>
          <w:color w:val="141436"/>
          <w:sz w:val="30"/>
          <w:szCs w:val="30"/>
        </w:rPr>
        <w:t xml:space="preserve">What we need from the group</w:t>
      </w:r>
    </w:p>
    <w:p>
      <w:pPr>
        <w:pStyle w:val="ListParagraph"/>
        <w:numPr>
          <w:ilvl w:val="0"/>
          <w:numId w:val="4"/>
        </w:numPr>
        <w:spacing w:after="100" w:line="276"/>
      </w:pPr>
      <w:r>
        <w:rPr>
          <w:rFonts w:ascii="Calibri" w:cs="Calibri" w:eastAsia="Calibri" w:hAnsi="Calibri"/>
          <w:sz w:val="22"/>
          <w:szCs w:val="22"/>
        </w:rPr>
        <w:t xml:space="preserve">A go or no-go decision this week.</w:t>
      </w:r>
    </w:p>
    <w:p>
      <w:pPr>
        <w:pStyle w:val="ListParagraph"/>
        <w:numPr>
          <w:ilvl w:val="0"/>
          <w:numId w:val="4"/>
        </w:numPr>
        <w:spacing w:after="100" w:line="276"/>
      </w:pPr>
      <w:r>
        <w:rPr>
          <w:rFonts w:ascii="Calibri" w:cs="Calibri" w:eastAsia="Calibri" w:hAnsi="Calibri"/>
          <w:sz w:val="22"/>
          <w:szCs w:val="22"/>
        </w:rPr>
        <w:t>An owner for the scrap price series join, which is now a build rather than a search: Eurostat Comext DS-045409, HS 7204, with the endpoint, dimension key and unit convention already confirmed.</w:t>
      </w:r>
    </w:p>
    <w:p>
      <w:pPr>
        <w:pStyle w:val="ListParagraph"/>
        <w:numPr>
          <w:ilvl w:val="0"/>
          <w:numId w:val="4"/>
        </w:numPr>
        <w:spacing w:after="100" w:line="276"/>
      </w:pPr>
      <w:r>
        <w:rPr>
          <w:rFonts w:ascii="Calibri" w:cs="Calibri" w:eastAsia="Calibri" w:hAnsi="Calibri"/>
          <w:sz w:val="22"/>
          <w:szCs w:val="22"/>
        </w:rPr>
        <w:t>An early decision on how storage slack is measured, since both the exposure interaction and the placebo depend on it. Permitted storage capacity is out: it is not harmonised anywhere in the EU, and the nearest Eurostat dataset measures treatment throughput rather than storage. That leaves operator concentration from Eurostat SBS, which carries a definitional break at 2021 and a real risk that the 38.31 dismantling class is suppressed for confidentiality in exactly the countries where concentration is highest.</w:t>
      </w:r>
    </w:p>
    <w:p>
      <w:pPr>
        <w:pBdr>
          <w:top w:val="single" w:color="C9CEE0" w:sz="6" w:space="8"/>
        </w:pBdr>
        <w:spacing w:before="400"/>
      </w:pPr>
      <w:r>
        <w:rPr>
          <w:rFonts w:ascii="Calibri" w:cs="Calibri" w:eastAsia="Calibri" w:hAnsi="Calibri"/>
          <w:i/>
          <w:iCs/>
          <w:color w:val="595959"/>
          <w:sz w:val="20"/>
          <w:szCs w:val="20"/>
        </w:rPr>
        <w:t xml:space="preserve">Open to being argued out of this if anyone has a stronger case. If the group prefers to argue for causality, Singapore becomes the primary case and this one becomes the ruled-out alternative.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2026-09-19T03:08:54.236Z</dcterms:created>
  <dcterms:modified xsi:type="dcterms:W3CDTF">2026-09-19T03:08:54.237Z</dcterms:modified>
</cp:coreProperties>
</file>

<file path=docProps/custom.xml><?xml version="1.0" encoding="utf-8"?>
<Properties xmlns="http://schemas.openxmlformats.org/officeDocument/2006/custom-properties" xmlns:vt="http://schemas.openxmlformats.org/officeDocument/2006/docPropsVTypes"/>
</file>