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F4E5F"/>
          <w:sz w:val="34"/>
          <w:szCs w:val="34"/>
        </w:rPr>
        <w:t xml:space="preserve">Belgium ELV Research Brief</w:t>
      </w:r>
    </w:p>
    <w:p>
      <w:pPr>
        <w:spacing w:after="30" w:line="280"/>
      </w:pPr>
      <w:r>
        <w:rPr>
          <w:rFonts w:ascii="Calibri" w:cs="Calibri" w:eastAsia="Calibri" w:hAnsi="Calibri"/>
          <w:color w:val="595959"/>
          <w:sz w:val="20"/>
          <w:szCs w:val="20"/>
        </w:rPr>
        <w:t xml:space="preserve">Belgium's end-of-life vehicle tracking system and the economic value of domestically recovered materials</w:t>
      </w:r>
    </w:p>
    <w:p>
      <w:pPr>
        <w:spacing w:after="200" w:line="280"/>
      </w:pPr>
      <w:r>
        <w:rPr>
          <w:rFonts w:ascii="Calibri" w:cs="Calibri" w:eastAsia="Calibri" w:hAnsi="Calibri"/>
          <w:color w:val="595959"/>
          <w:sz w:val="20"/>
          <w:szCs w:val="20"/>
        </w:rPr>
        <w:t xml:space="preserve">The Global ELV Recycling Gap capstone | Prepared 1 August 2026 | Data year 2023</w:t>
      </w:r>
    </w:p>
    <w:p>
      <w:pPr>
        <w:pBdr>
          <w:top w:val="single" w:color="8A4B00" w:sz="10" w:space="8"/>
          <w:bottom w:val="single" w:color="8A4B00" w:sz="10" w:space="8"/>
        </w:pBdr>
        <w:shd w:fill="FBF3E4" w:color="auto" w:val="clear"/>
        <w:spacing w:after="170" w:before="60" w:line="280"/>
      </w:pPr>
      <w:r>
        <w:rPr>
          <w:rFonts w:ascii="Calibri" w:cs="Calibri" w:eastAsia="Calibri" w:hAnsi="Calibri"/>
          <w:b/>
          <w:bCs/>
          <w:color w:val="8A4B00"/>
          <w:sz w:val="20"/>
          <w:szCs w:val="20"/>
        </w:rPr>
        <w:t xml:space="preserve">Research constraint, stated up front. </w:t>
      </w:r>
      <w:r>
        <w:rPr>
          <w:rFonts w:ascii="Calibri" w:cs="Calibri" w:eastAsia="Calibri" w:hAnsi="Calibri"/>
          <w:color w:val="8A4B00"/>
          <w:sz w:val="20"/>
          <w:szCs w:val="20"/>
        </w:rPr>
        <w:t xml:space="preserve">Web search works in this environment but web fetch is blocked by the egress proxy for the key primary sources - febelauto.be and cemonitor.be both returned EGRESS_BLOCKED. Febelauto's annual reports and figures pages could not be opened. Institutional details in Section A therefore rest on search-engine summaries of secondary coverage, which is exactly the source class this brief was asked not to rely on. Section A should be treated as a verified-lead list, not as confirmed findings. Sections B, C and E are on much firmer ground: they come from Eurostat's official ELV dataflow, already loaded and value-verified in this project's pipeline.</w:t>
      </w:r>
    </w:p>
    <w:p>
      <w:pPr>
        <w:pStyle w:val="Heading1"/>
        <w:pBdr>
          <w:bottom w:val="single" w:color="1F4E5F" w:sz="6" w:space="4"/>
        </w:pBdr>
        <w:spacing w:after="140" w:before="300"/>
      </w:pPr>
      <w:r>
        <w:rPr>
          <w:rFonts w:ascii="Calibri" w:cs="Calibri" w:eastAsia="Calibri" w:hAnsi="Calibri"/>
          <w:b/>
          <w:bCs/>
          <w:color w:val="1F4E5F"/>
          <w:sz w:val="25"/>
          <w:szCs w:val="25"/>
        </w:rPr>
        <w:t xml:space="preserve">A. Belgium's ELV System</w:t>
      </w:r>
    </w:p>
    <w:p>
      <w:pPr>
        <w:spacing w:after="120" w:line="280"/>
      </w:pPr>
      <w:r>
        <w:rPr>
          <w:rFonts w:ascii="Calibri" w:cs="Calibri" w:eastAsia="Calibri" w:hAnsi="Calibri"/>
          <w:sz w:val="21"/>
          <w:szCs w:val="21"/>
        </w:rPr>
        <w:t xml:space="preserve">Belgium administers ELVs regionally, with a single national producer-responsibility organization operating across regions.</w:t>
      </w:r>
    </w:p>
    <w:tbl>
      <w:tblPr>
        <w:tblW w:type="dxa" w:w="9360"/>
        <w:tblBorders>
          <w:top w:val="single" w:color="BFBFBF" w:sz="4"/>
          <w:left w:val="none"/>
          <w:bottom w:val="single" w:color="BFBFBF" w:sz="4"/>
          <w:right w:val="none"/>
          <w:insideH w:val="single" w:color="DEDEDE" w:sz="2"/>
          <w:insideV w:val="none"/>
        </w:tblBorders>
      </w:tblPr>
      <w:tblGrid>
        <w:gridCol w:w="2200"/>
        <w:gridCol w:w="4560"/>
        <w:gridCol w:w="2600"/>
      </w:tblGrid>
      <w:tr>
        <w:trPr>
          <w:tblHeader/>
        </w:trPr>
        <w:tc>
          <w:tcPr>
            <w:tcW w:type="dxa" w:w="2200"/>
            <w:shd w:fill="E8EEF1" w:color="auto" w:val="clear"/>
            <w:tcMar>
              <w:top w:type="dxa" w:w="45"/>
              <w:left w:type="dxa" w:w="85"/>
              <w:bottom w:type="dxa" w:w="45"/>
              <w:right w:type="dxa" w:w="85"/>
            </w:tcMar>
          </w:tcPr>
          <w:p>
            <w:pPr>
              <w:spacing w:after="0" w:line="230"/>
            </w:pPr>
            <w:r>
              <w:rPr>
                <w:rFonts w:ascii="Calibri" w:cs="Calibri" w:eastAsia="Calibri" w:hAnsi="Calibri"/>
                <w:b/>
                <w:bCs/>
                <w:sz w:val="17"/>
                <w:szCs w:val="17"/>
              </w:rPr>
              <w:t xml:space="preserve">Attribute</w:t>
            </w:r>
          </w:p>
        </w:tc>
        <w:tc>
          <w:tcPr>
            <w:tcW w:type="dxa" w:w="4560"/>
            <w:shd w:fill="E8EEF1" w:color="auto" w:val="clear"/>
            <w:tcMar>
              <w:top w:type="dxa" w:w="45"/>
              <w:left w:type="dxa" w:w="85"/>
              <w:bottom w:type="dxa" w:w="45"/>
              <w:right w:type="dxa" w:w="85"/>
            </w:tcMar>
          </w:tcPr>
          <w:p>
            <w:pPr>
              <w:spacing w:after="0" w:line="230"/>
            </w:pPr>
            <w:r>
              <w:rPr>
                <w:rFonts w:ascii="Calibri" w:cs="Calibri" w:eastAsia="Calibri" w:hAnsi="Calibri"/>
                <w:b/>
                <w:bCs/>
                <w:sz w:val="17"/>
                <w:szCs w:val="17"/>
              </w:rPr>
              <w:t xml:space="preserve">Finding</w:t>
            </w:r>
          </w:p>
        </w:tc>
        <w:tc>
          <w:tcPr>
            <w:tcW w:type="dxa" w:w="2600"/>
            <w:shd w:fill="E8EEF1" w:color="auto" w:val="clear"/>
            <w:tcMar>
              <w:top w:type="dxa" w:w="45"/>
              <w:left w:type="dxa" w:w="85"/>
              <w:bottom w:type="dxa" w:w="45"/>
              <w:right w:type="dxa" w:w="85"/>
            </w:tcMar>
          </w:tcPr>
          <w:p>
            <w:pPr>
              <w:spacing w:after="0" w:line="230"/>
            </w:pPr>
            <w:r>
              <w:rPr>
                <w:rFonts w:ascii="Calibri" w:cs="Calibri" w:eastAsia="Calibri" w:hAnsi="Calibri"/>
                <w:b/>
                <w:bCs/>
                <w:sz w:val="17"/>
                <w:szCs w:val="17"/>
              </w:rPr>
              <w:t xml:space="preserve">Confidence</w:t>
            </w:r>
          </w:p>
        </w:tc>
      </w:tr>
      <w:tr>
        <w:tc>
          <w:tcPr>
            <w:tcW w:type="dxa" w:w="2200"/>
            <w:tcMar>
              <w:top w:type="dxa" w:w="45"/>
              <w:left w:type="dxa" w:w="85"/>
              <w:bottom w:type="dxa" w:w="45"/>
              <w:right w:type="dxa" w:w="85"/>
            </w:tcMar>
          </w:tcPr>
          <w:p>
            <w:pPr>
              <w:spacing w:after="0" w:line="230"/>
            </w:pPr>
            <w:r>
              <w:rPr>
                <w:rFonts w:ascii="Calibri" w:cs="Calibri" w:eastAsia="Calibri" w:hAnsi="Calibri"/>
                <w:sz w:val="17"/>
                <w:szCs w:val="17"/>
              </w:rPr>
              <w:t xml:space="preserve">Producer-responsibility organization</w:t>
            </w:r>
          </w:p>
        </w:tc>
        <w:tc>
          <w:tcPr>
            <w:tcW w:type="dxa" w:w="4560"/>
            <w:tcMar>
              <w:top w:type="dxa" w:w="45"/>
              <w:left w:type="dxa" w:w="85"/>
              <w:bottom w:type="dxa" w:w="45"/>
              <w:right w:type="dxa" w:w="85"/>
            </w:tcMar>
          </w:tcPr>
          <w:p>
            <w:pPr>
              <w:spacing w:after="0" w:line="230"/>
            </w:pPr>
            <w:r>
              <w:rPr>
                <w:rFonts w:ascii="Calibri" w:cs="Calibri" w:eastAsia="Calibri" w:hAnsi="Calibri"/>
                <w:sz w:val="17"/>
                <w:szCs w:val="17"/>
              </w:rPr>
              <w:t xml:space="preserve">Febelauto - non-profit PRO responsible for ELVs in Belgium (and reportedly Luxembourg), discharging OEM/importer waste obligations</w:t>
            </w:r>
          </w:p>
        </w:tc>
        <w:tc>
          <w:tcPr>
            <w:tcW w:type="dxa" w:w="2600"/>
            <w:tcMar>
              <w:top w:type="dxa" w:w="45"/>
              <w:left w:type="dxa" w:w="85"/>
              <w:bottom w:type="dxa" w:w="45"/>
              <w:right w:type="dxa" w:w="85"/>
            </w:tcMar>
          </w:tcPr>
          <w:p>
            <w:pPr>
              <w:spacing w:after="0" w:line="230"/>
            </w:pPr>
            <w:r>
              <w:rPr>
                <w:rFonts w:ascii="Calibri" w:cs="Calibri" w:eastAsia="Calibri" w:hAnsi="Calibri"/>
                <w:sz w:val="17"/>
                <w:szCs w:val="17"/>
              </w:rPr>
              <w:t xml:space="preserve">Verified via multiple independent sources</w:t>
            </w:r>
          </w:p>
        </w:tc>
      </w:tr>
      <w:tr>
        <w:tc>
          <w:tcPr>
            <w:tcW w:type="dxa" w:w="2200"/>
            <w:tcMar>
              <w:top w:type="dxa" w:w="45"/>
              <w:left w:type="dxa" w:w="85"/>
              <w:bottom w:type="dxa" w:w="45"/>
              <w:right w:type="dxa" w:w="85"/>
            </w:tcMar>
          </w:tcPr>
          <w:p>
            <w:pPr>
              <w:spacing w:after="0" w:line="230"/>
            </w:pPr>
            <w:r>
              <w:rPr>
                <w:rFonts w:ascii="Calibri" w:cs="Calibri" w:eastAsia="Calibri" w:hAnsi="Calibri"/>
                <w:sz w:val="17"/>
                <w:szCs w:val="17"/>
              </w:rPr>
              <w:t xml:space="preserve">Network</w:t>
            </w:r>
          </w:p>
        </w:tc>
        <w:tc>
          <w:tcPr>
            <w:tcW w:type="dxa" w:w="4560"/>
            <w:tcMar>
              <w:top w:type="dxa" w:w="45"/>
              <w:left w:type="dxa" w:w="85"/>
              <w:bottom w:type="dxa" w:w="45"/>
              <w:right w:type="dxa" w:w="85"/>
            </w:tcMar>
          </w:tcPr>
          <w:p>
            <w:pPr>
              <w:spacing w:after="0" w:line="230"/>
            </w:pPr>
            <w:r>
              <w:rPr>
                <w:rFonts w:ascii="Calibri" w:cs="Calibri" w:eastAsia="Calibri" w:hAnsi="Calibri"/>
                <w:sz w:val="17"/>
                <w:szCs w:val="17"/>
              </w:rPr>
              <w:t xml:space="preserve">100+ authorized treatment facilities; reported 90% of owners within 40 km</w:t>
            </w:r>
          </w:p>
        </w:tc>
        <w:tc>
          <w:tcPr>
            <w:tcW w:type="dxa" w:w="2600"/>
            <w:tcMar>
              <w:top w:type="dxa" w:w="45"/>
              <w:left w:type="dxa" w:w="85"/>
              <w:bottom w:type="dxa" w:w="45"/>
              <w:right w:type="dxa" w:w="85"/>
            </w:tcMar>
          </w:tcPr>
          <w:p>
            <w:pPr>
              <w:spacing w:after="0" w:line="230"/>
            </w:pPr>
            <w:r>
              <w:rPr>
                <w:rFonts w:ascii="Calibri" w:cs="Calibri" w:eastAsia="Calibri" w:hAnsi="Calibri"/>
                <w:sz w:val="17"/>
                <w:szCs w:val="17"/>
              </w:rPr>
              <w:t xml:space="preserve">Secondary source</w:t>
            </w:r>
          </w:p>
        </w:tc>
      </w:tr>
      <w:tr>
        <w:tc>
          <w:tcPr>
            <w:tcW w:type="dxa" w:w="2200"/>
            <w:tcMar>
              <w:top w:type="dxa" w:w="45"/>
              <w:left w:type="dxa" w:w="85"/>
              <w:bottom w:type="dxa" w:w="45"/>
              <w:right w:type="dxa" w:w="85"/>
            </w:tcMar>
          </w:tcPr>
          <w:p>
            <w:pPr>
              <w:spacing w:after="0" w:line="230"/>
            </w:pPr>
            <w:r>
              <w:rPr>
                <w:rFonts w:ascii="Calibri" w:cs="Calibri" w:eastAsia="Calibri" w:hAnsi="Calibri"/>
                <w:sz w:val="17"/>
                <w:szCs w:val="17"/>
              </w:rPr>
              <w:t xml:space="preserve">Flanders authority</w:t>
            </w:r>
          </w:p>
        </w:tc>
        <w:tc>
          <w:tcPr>
            <w:tcW w:type="dxa" w:w="4560"/>
            <w:tcMar>
              <w:top w:type="dxa" w:w="45"/>
              <w:left w:type="dxa" w:w="85"/>
              <w:bottom w:type="dxa" w:w="45"/>
              <w:right w:type="dxa" w:w="85"/>
            </w:tcMar>
          </w:tcPr>
          <w:p>
            <w:pPr>
              <w:spacing w:after="0" w:line="230"/>
            </w:pPr>
            <w:r>
              <w:rPr>
                <w:rFonts w:ascii="Calibri" w:cs="Calibri" w:eastAsia="Calibri" w:hAnsi="Calibri"/>
                <w:sz w:val="17"/>
                <w:szCs w:val="17"/>
              </w:rPr>
              <w:t xml:space="preserve">OVAM (Openbare Vlaamse Afvalstoffenmaatschappij), under the Materialendecreet and VLAREMA - acceptance and recognition obligations apply to ELV treatment</w:t>
            </w:r>
          </w:p>
        </w:tc>
        <w:tc>
          <w:tcPr>
            <w:tcW w:type="dxa" w:w="2600"/>
            <w:tcMar>
              <w:top w:type="dxa" w:w="45"/>
              <w:left w:type="dxa" w:w="85"/>
              <w:bottom w:type="dxa" w:w="45"/>
              <w:right w:type="dxa" w:w="85"/>
            </w:tcMar>
          </w:tcPr>
          <w:p>
            <w:pPr>
              <w:spacing w:after="0" w:line="230"/>
            </w:pPr>
            <w:r>
              <w:rPr>
                <w:rFonts w:ascii="Calibri" w:cs="Calibri" w:eastAsia="Calibri" w:hAnsi="Calibri"/>
                <w:sz w:val="17"/>
                <w:szCs w:val="17"/>
              </w:rPr>
              <w:t xml:space="preserve">Verified</w:t>
            </w:r>
          </w:p>
        </w:tc>
      </w:tr>
      <w:tr>
        <w:tc>
          <w:tcPr>
            <w:tcW w:type="dxa" w:w="2200"/>
            <w:tcMar>
              <w:top w:type="dxa" w:w="45"/>
              <w:left w:type="dxa" w:w="85"/>
              <w:bottom w:type="dxa" w:w="45"/>
              <w:right w:type="dxa" w:w="85"/>
            </w:tcMar>
          </w:tcPr>
          <w:p>
            <w:pPr>
              <w:spacing w:after="0" w:line="230"/>
            </w:pPr>
            <w:r>
              <w:rPr>
                <w:rFonts w:ascii="Calibri" w:cs="Calibri" w:eastAsia="Calibri" w:hAnsi="Calibri"/>
                <w:sz w:val="17"/>
                <w:szCs w:val="17"/>
              </w:rPr>
              <w:t xml:space="preserve">Wallonia / Brussels</w:t>
            </w:r>
          </w:p>
        </w:tc>
        <w:tc>
          <w:tcPr>
            <w:tcW w:type="dxa" w:w="4560"/>
            <w:tcMar>
              <w:top w:type="dxa" w:w="45"/>
              <w:left w:type="dxa" w:w="85"/>
              <w:bottom w:type="dxa" w:w="45"/>
              <w:right w:type="dxa" w:w="85"/>
            </w:tcMar>
          </w:tcPr>
          <w:p>
            <w:pPr>
              <w:spacing w:after="0" w:line="230"/>
            </w:pPr>
            <w:r>
              <w:rPr>
                <w:rFonts w:ascii="Calibri" w:cs="Calibri" w:eastAsia="Calibri" w:hAnsi="Calibri"/>
                <w:sz w:val="17"/>
                <w:szCs w:val="17"/>
              </w:rPr>
              <w:t xml:space="preserve">ELV provisions transposed through regional agreements; both Flanders and Wallonia reference authorized distributor networks</w:t>
            </w:r>
          </w:p>
        </w:tc>
        <w:tc>
          <w:tcPr>
            <w:tcW w:type="dxa" w:w="2600"/>
            <w:tcMar>
              <w:top w:type="dxa" w:w="45"/>
              <w:left w:type="dxa" w:w="85"/>
              <w:bottom w:type="dxa" w:w="45"/>
              <w:right w:type="dxa" w:w="85"/>
            </w:tcMar>
          </w:tcPr>
          <w:p>
            <w:pPr>
              <w:spacing w:after="0" w:line="230"/>
            </w:pPr>
            <w:r>
              <w:rPr>
                <w:rFonts w:ascii="Calibri" w:cs="Calibri" w:eastAsia="Calibri" w:hAnsi="Calibri"/>
                <w:sz w:val="17"/>
                <w:szCs w:val="17"/>
              </w:rPr>
              <w:t xml:space="preserve">Partially verified - Walloon and Brussels agencies not identified by name</w:t>
            </w:r>
          </w:p>
        </w:tc>
      </w:tr>
      <w:tr>
        <w:tc>
          <w:tcPr>
            <w:tcW w:type="dxa" w:w="2200"/>
            <w:tcMar>
              <w:top w:type="dxa" w:w="45"/>
              <w:left w:type="dxa" w:w="85"/>
              <w:bottom w:type="dxa" w:w="45"/>
              <w:right w:type="dxa" w:w="85"/>
            </w:tcMar>
          </w:tcPr>
          <w:p>
            <w:pPr>
              <w:spacing w:after="0" w:line="230"/>
            </w:pPr>
            <w:r>
              <w:rPr>
                <w:rFonts w:ascii="Calibri" w:cs="Calibri" w:eastAsia="Calibri" w:hAnsi="Calibri"/>
                <w:sz w:val="17"/>
                <w:szCs w:val="17"/>
              </w:rPr>
              <w:t xml:space="preserve">Federal layer</w:t>
            </w:r>
          </w:p>
        </w:tc>
        <w:tc>
          <w:tcPr>
            <w:tcW w:type="dxa" w:w="4560"/>
            <w:tcMar>
              <w:top w:type="dxa" w:w="45"/>
              <w:left w:type="dxa" w:w="85"/>
              <w:bottom w:type="dxa" w:w="45"/>
              <w:right w:type="dxa" w:w="85"/>
            </w:tcMar>
          </w:tcPr>
          <w:p>
            <w:pPr>
              <w:spacing w:after="0" w:line="230"/>
            </w:pPr>
            <w:r>
              <w:rPr>
                <w:rFonts w:ascii="Calibri" w:cs="Calibri" w:eastAsia="Calibri" w:hAnsi="Calibri"/>
                <w:sz w:val="17"/>
                <w:szCs w:val="17"/>
              </w:rPr>
              <w:t xml:space="preserve">health.belgium.be maintains an ELV page, suggesting a federal information role</w:t>
            </w:r>
          </w:p>
        </w:tc>
        <w:tc>
          <w:tcPr>
            <w:tcW w:type="dxa" w:w="2600"/>
            <w:tcMar>
              <w:top w:type="dxa" w:w="45"/>
              <w:left w:type="dxa" w:w="85"/>
              <w:bottom w:type="dxa" w:w="45"/>
              <w:right w:type="dxa" w:w="85"/>
            </w:tcMar>
          </w:tcPr>
          <w:p>
            <w:pPr>
              <w:spacing w:after="0" w:line="230"/>
            </w:pPr>
            <w:r>
              <w:rPr>
                <w:rFonts w:ascii="Calibri" w:cs="Calibri" w:eastAsia="Calibri" w:hAnsi="Calibri"/>
                <w:sz w:val="17"/>
                <w:szCs w:val="17"/>
              </w:rPr>
              <w:t xml:space="preserve">Unverified</w:t>
            </w:r>
          </w:p>
        </w:tc>
      </w:tr>
      <w:tr>
        <w:tc>
          <w:tcPr>
            <w:tcW w:type="dxa" w:w="2200"/>
            <w:tcMar>
              <w:top w:type="dxa" w:w="45"/>
              <w:left w:type="dxa" w:w="85"/>
              <w:bottom w:type="dxa" w:w="45"/>
              <w:right w:type="dxa" w:w="85"/>
            </w:tcMar>
          </w:tcPr>
          <w:p>
            <w:pPr>
              <w:spacing w:after="0" w:line="230"/>
            </w:pPr>
            <w:r>
              <w:rPr>
                <w:rFonts w:ascii="Calibri" w:cs="Calibri" w:eastAsia="Calibri" w:hAnsi="Calibri"/>
                <w:sz w:val="17"/>
                <w:szCs w:val="17"/>
              </w:rPr>
              <w:t xml:space="preserve">Reporting mandatory?</w:t>
            </w:r>
          </w:p>
        </w:tc>
        <w:tc>
          <w:tcPr>
            <w:tcW w:type="dxa" w:w="4560"/>
            <w:tcMar>
              <w:top w:type="dxa" w:w="45"/>
              <w:left w:type="dxa" w:w="85"/>
              <w:bottom w:type="dxa" w:w="45"/>
              <w:right w:type="dxa" w:w="85"/>
            </w:tcMar>
          </w:tcPr>
          <w:p>
            <w:pPr>
              <w:spacing w:after="0" w:line="230"/>
            </w:pPr>
            <w:r>
              <w:rPr>
                <w:rFonts w:ascii="Calibri" w:cs="Calibri" w:eastAsia="Calibri" w:hAnsi="Calibri"/>
                <w:sz w:val="17"/>
                <w:szCs w:val="17"/>
              </w:rPr>
              <w:t xml:space="preserve">Yes - ELV Directive 2000/53/EC obliges Member State reporting to the Commission and Eurostat</w:t>
            </w:r>
          </w:p>
        </w:tc>
        <w:tc>
          <w:tcPr>
            <w:tcW w:type="dxa" w:w="2600"/>
            <w:tcMar>
              <w:top w:type="dxa" w:w="45"/>
              <w:left w:type="dxa" w:w="85"/>
              <w:bottom w:type="dxa" w:w="45"/>
              <w:right w:type="dxa" w:w="85"/>
            </w:tcMar>
          </w:tcPr>
          <w:p>
            <w:pPr>
              <w:spacing w:after="0" w:line="230"/>
            </w:pPr>
            <w:r>
              <w:rPr>
                <w:rFonts w:ascii="Calibri" w:cs="Calibri" w:eastAsia="Calibri" w:hAnsi="Calibri"/>
                <w:sz w:val="17"/>
                <w:szCs w:val="17"/>
              </w:rPr>
              <w:t xml:space="preserve">Verified (directive level)</w:t>
            </w:r>
          </w:p>
        </w:tc>
      </w:tr>
      <w:tr>
        <w:tc>
          <w:tcPr>
            <w:tcW w:type="dxa" w:w="2200"/>
            <w:tcMar>
              <w:top w:type="dxa" w:w="45"/>
              <w:left w:type="dxa" w:w="85"/>
              <w:bottom w:type="dxa" w:w="45"/>
              <w:right w:type="dxa" w:w="85"/>
            </w:tcMar>
          </w:tcPr>
          <w:p>
            <w:pPr>
              <w:spacing w:after="0" w:line="230"/>
            </w:pPr>
            <w:r>
              <w:rPr>
                <w:rFonts w:ascii="Calibri" w:cs="Calibri" w:eastAsia="Calibri" w:hAnsi="Calibri"/>
                <w:sz w:val="17"/>
                <w:szCs w:val="17"/>
              </w:rPr>
              <w:t xml:space="preserve">Individual vehicle tracking?</w:t>
            </w:r>
          </w:p>
        </w:tc>
        <w:tc>
          <w:tcPr>
            <w:tcW w:type="dxa" w:w="4560"/>
            <w:tcMar>
              <w:top w:type="dxa" w:w="45"/>
              <w:left w:type="dxa" w:w="85"/>
              <w:bottom w:type="dxa" w:w="45"/>
              <w:right w:type="dxa" w:w="85"/>
            </w:tcMar>
          </w:tcPr>
          <w:p>
            <w:pPr>
              <w:spacing w:after="0" w:line="230"/>
            </w:pPr>
            <w:r>
              <w:rPr>
                <w:rFonts w:ascii="Calibri" w:cs="Calibri" w:eastAsia="Calibri" w:hAnsi="Calibri"/>
                <w:sz w:val="17"/>
                <w:szCs w:val="17"/>
              </w:rPr>
              <w:t xml:space="preserve">Unresolved. Febelauto operates a destruction-certificate system by regulatory necessity, but whether vehicle-level records are published or accessible could not be confirmed</w:t>
            </w:r>
          </w:p>
        </w:tc>
        <w:tc>
          <w:tcPr>
            <w:tcW w:type="dxa" w:w="2600"/>
            <w:tcMar>
              <w:top w:type="dxa" w:w="45"/>
              <w:left w:type="dxa" w:w="85"/>
              <w:bottom w:type="dxa" w:w="45"/>
              <w:right w:type="dxa" w:w="85"/>
            </w:tcMar>
          </w:tcPr>
          <w:p>
            <w:pPr>
              <w:spacing w:after="0" w:line="230"/>
            </w:pPr>
            <w:r>
              <w:rPr>
                <w:rFonts w:ascii="Calibri" w:cs="Calibri" w:eastAsia="Calibri" w:hAnsi="Calibri"/>
                <w:sz w:val="17"/>
                <w:szCs w:val="17"/>
              </w:rPr>
              <w:t xml:space="preserve">Not established</w:t>
            </w:r>
          </w:p>
        </w:tc>
      </w:tr>
      <w:tr>
        <w:tc>
          <w:tcPr>
            <w:tcW w:type="dxa" w:w="2200"/>
            <w:tcMar>
              <w:top w:type="dxa" w:w="45"/>
              <w:left w:type="dxa" w:w="85"/>
              <w:bottom w:type="dxa" w:w="45"/>
              <w:right w:type="dxa" w:w="85"/>
            </w:tcMar>
          </w:tcPr>
          <w:p>
            <w:pPr>
              <w:spacing w:after="0" w:line="230"/>
            </w:pPr>
            <w:r>
              <w:rPr>
                <w:rFonts w:ascii="Calibri" w:cs="Calibri" w:eastAsia="Calibri" w:hAnsi="Calibri"/>
                <w:sz w:val="17"/>
                <w:szCs w:val="17"/>
              </w:rPr>
              <w:t xml:space="preserve">Material outputs tracked?</w:t>
            </w:r>
          </w:p>
        </w:tc>
        <w:tc>
          <w:tcPr>
            <w:tcW w:type="dxa" w:w="4560"/>
            <w:tcMar>
              <w:top w:type="dxa" w:w="45"/>
              <w:left w:type="dxa" w:w="85"/>
              <w:bottom w:type="dxa" w:w="45"/>
              <w:right w:type="dxa" w:w="85"/>
            </w:tcMar>
          </w:tcPr>
          <w:p>
            <w:pPr>
              <w:spacing w:after="0" w:line="230"/>
            </w:pPr>
            <w:r>
              <w:rPr>
                <w:rFonts w:ascii="Calibri" w:cs="Calibri" w:eastAsia="Calibri" w:hAnsi="Calibri"/>
                <w:sz w:val="17"/>
                <w:szCs w:val="17"/>
              </w:rPr>
              <w:t xml:space="preserve">Yes - confirmed, see Section C</w:t>
            </w:r>
          </w:p>
        </w:tc>
        <w:tc>
          <w:tcPr>
            <w:tcW w:type="dxa" w:w="2600"/>
            <w:tcMar>
              <w:top w:type="dxa" w:w="45"/>
              <w:left w:type="dxa" w:w="85"/>
              <w:bottom w:type="dxa" w:w="45"/>
              <w:right w:type="dxa" w:w="85"/>
            </w:tcMar>
          </w:tcPr>
          <w:p>
            <w:pPr>
              <w:spacing w:after="0" w:line="230"/>
            </w:pPr>
            <w:r>
              <w:rPr>
                <w:rFonts w:ascii="Calibri" w:cs="Calibri" w:eastAsia="Calibri" w:hAnsi="Calibri"/>
                <w:sz w:val="17"/>
                <w:szCs w:val="17"/>
              </w:rPr>
              <w:t xml:space="preserve">Verified via Eurostat</w:t>
            </w:r>
          </w:p>
        </w:tc>
      </w:tr>
      <w:tr>
        <w:tc>
          <w:tcPr>
            <w:tcW w:type="dxa" w:w="2200"/>
            <w:tcMar>
              <w:top w:type="dxa" w:w="45"/>
              <w:left w:type="dxa" w:w="85"/>
              <w:bottom w:type="dxa" w:w="45"/>
              <w:right w:type="dxa" w:w="85"/>
            </w:tcMar>
          </w:tcPr>
          <w:p>
            <w:pPr>
              <w:spacing w:after="0" w:line="230"/>
            </w:pPr>
            <w:r>
              <w:rPr>
                <w:rFonts w:ascii="Calibri" w:cs="Calibri" w:eastAsia="Calibri" w:hAnsi="Calibri"/>
                <w:sz w:val="17"/>
                <w:szCs w:val="17"/>
              </w:rPr>
              <w:t xml:space="preserve">Financial data reported?</w:t>
            </w:r>
          </w:p>
        </w:tc>
        <w:tc>
          <w:tcPr>
            <w:tcW w:type="dxa" w:w="4560"/>
            <w:tcMar>
              <w:top w:type="dxa" w:w="45"/>
              <w:left w:type="dxa" w:w="85"/>
              <w:bottom w:type="dxa" w:w="45"/>
              <w:right w:type="dxa" w:w="85"/>
            </w:tcMar>
          </w:tcPr>
          <w:p>
            <w:pPr>
              <w:spacing w:after="0" w:line="230"/>
            </w:pPr>
            <w:r>
              <w:rPr>
                <w:rFonts w:ascii="Calibri" w:cs="Calibri" w:eastAsia="Calibri" w:hAnsi="Calibri"/>
                <w:sz w:val="17"/>
                <w:szCs w:val="17"/>
              </w:rPr>
              <w:t xml:space="preserve">No monetary figures located in any official Belgian ELV reporting</w:t>
            </w:r>
          </w:p>
        </w:tc>
        <w:tc>
          <w:tcPr>
            <w:tcW w:type="dxa" w:w="2600"/>
            <w:tcMar>
              <w:top w:type="dxa" w:w="45"/>
              <w:left w:type="dxa" w:w="85"/>
              <w:bottom w:type="dxa" w:w="45"/>
              <w:right w:type="dxa" w:w="85"/>
            </w:tcMar>
          </w:tcPr>
          <w:p>
            <w:pPr>
              <w:spacing w:after="0" w:line="230"/>
            </w:pPr>
            <w:r>
              <w:rPr>
                <w:rFonts w:ascii="Calibri" w:cs="Calibri" w:eastAsia="Calibri" w:hAnsi="Calibri"/>
                <w:sz w:val="17"/>
                <w:szCs w:val="17"/>
              </w:rPr>
              <w:t xml:space="preserve">See Section D</w:t>
            </w:r>
          </w:p>
        </w:tc>
      </w:tr>
    </w:tbl>
    <w:p>
      <w:pPr>
        <w:pBdr>
          <w:top w:val="single" w:color="8A4B00" w:sz="10" w:space="8"/>
          <w:bottom w:val="single" w:color="8A4B00" w:sz="10" w:space="8"/>
        </w:pBdr>
        <w:shd w:fill="FBF3E4" w:color="auto" w:val="clear"/>
        <w:spacing w:after="170" w:before="60" w:line="280"/>
      </w:pPr>
      <w:r>
        <w:rPr>
          <w:rFonts w:ascii="Calibri" w:cs="Calibri" w:eastAsia="Calibri" w:hAnsi="Calibri"/>
          <w:b/>
          <w:bCs/>
          <w:color w:val="8A4B00"/>
          <w:sz w:val="20"/>
          <w:szCs w:val="20"/>
        </w:rPr>
        <w:t xml:space="preserve">Important scope note. </w:t>
      </w:r>
      <w:r>
        <w:rPr>
          <w:rFonts w:ascii="Calibri" w:cs="Calibri" w:eastAsia="Calibri" w:hAnsi="Calibri"/>
          <w:color w:val="8A4B00"/>
          <w:sz w:val="20"/>
          <w:szCs w:val="20"/>
        </w:rPr>
        <w:t xml:space="preserve">Febelauto's reported figures and Eurostat's differ, and the definitions are not interchangeable. Febelauto reported approximately 81,350 vehicles collected (2022) and 70,000 (2024); Eurostat records 63,592 for Belgium in 2023. Secondary coverage notes that Febelauto data relate to scrapping in Belgium and are independent of the region where vehicles were used - a different boundary from Eurostat's national reporting. Do not mix the two series.</w:t>
      </w:r>
    </w:p>
    <w:p>
      <w:pPr>
        <w:pStyle w:val="Heading2"/>
        <w:spacing w:after="80" w:before="200"/>
      </w:pPr>
      <w:r>
        <w:rPr>
          <w:rFonts w:ascii="Calibri" w:cs="Calibri" w:eastAsia="Calibri" w:hAnsi="Calibri"/>
          <w:b/>
          <w:bCs/>
          <w:sz w:val="22"/>
          <w:szCs w:val="22"/>
        </w:rPr>
        <w:t xml:space="preserve">Key sources for Section A</w:t>
      </w:r>
    </w:p>
    <w:p>
      <w:pPr>
        <w:spacing w:after="40" w:line="280"/>
      </w:pPr>
      <w:r>
        <w:rPr>
          <w:rFonts w:ascii="Calibri" w:cs="Calibri" w:eastAsia="Calibri" w:hAnsi="Calibri"/>
          <w:sz w:val="18"/>
          <w:szCs w:val="18"/>
        </w:rPr>
        <w:t xml:space="preserve">Febelauto Annual Report 2024 (could not be opened) - </w:t>
      </w:r>
      <w:r>
        <w:rPr>
          <w:rFonts w:ascii="Calibri" w:cs="Calibri" w:eastAsia="Calibri" w:hAnsi="Calibri"/>
          <w:color w:val="595959"/>
          <w:sz w:val="18"/>
          <w:szCs w:val="18"/>
        </w:rPr>
        <w:t xml:space="preserve">www.febelauto.be/jaarverslag2024/</w:t>
      </w:r>
    </w:p>
    <w:p>
      <w:pPr>
        <w:spacing w:after="40" w:line="280"/>
      </w:pPr>
      <w:r>
        <w:rPr>
          <w:rFonts w:ascii="Calibri" w:cs="Calibri" w:eastAsia="Calibri" w:hAnsi="Calibri"/>
          <w:sz w:val="18"/>
          <w:szCs w:val="18"/>
        </w:rPr>
        <w:t xml:space="preserve">Febelauto figures / Cijfers (could not be opened) - </w:t>
      </w:r>
      <w:r>
        <w:rPr>
          <w:rFonts w:ascii="Calibri" w:cs="Calibri" w:eastAsia="Calibri" w:hAnsi="Calibri"/>
          <w:color w:val="595959"/>
          <w:sz w:val="18"/>
          <w:szCs w:val="18"/>
        </w:rPr>
        <w:t xml:space="preserve">www.febelauto.be/nl/kenniscentrum/cijfers</w:t>
      </w:r>
    </w:p>
    <w:p>
      <w:pPr>
        <w:spacing w:after="40" w:line="280"/>
      </w:pPr>
      <w:r>
        <w:rPr>
          <w:rFonts w:ascii="Calibri" w:cs="Calibri" w:eastAsia="Calibri" w:hAnsi="Calibri"/>
          <w:sz w:val="18"/>
          <w:szCs w:val="18"/>
        </w:rPr>
        <w:t xml:space="preserve">OVAM - vehicles - </w:t>
      </w:r>
      <w:r>
        <w:rPr>
          <w:rFonts w:ascii="Calibri" w:cs="Calibri" w:eastAsia="Calibri" w:hAnsi="Calibri"/>
          <w:color w:val="595959"/>
          <w:sz w:val="18"/>
          <w:szCs w:val="18"/>
        </w:rPr>
        <w:t xml:space="preserve">ovam.vlaanderen.be/voertuigen</w:t>
      </w:r>
    </w:p>
    <w:p>
      <w:pPr>
        <w:spacing w:after="40" w:line="280"/>
      </w:pPr>
      <w:r>
        <w:rPr>
          <w:rFonts w:ascii="Calibri" w:cs="Calibri" w:eastAsia="Calibri" w:hAnsi="Calibri"/>
          <w:sz w:val="18"/>
          <w:szCs w:val="18"/>
        </w:rPr>
        <w:t xml:space="preserve">FEBIAC on Febelauto - </w:t>
      </w:r>
      <w:r>
        <w:rPr>
          <w:rFonts w:ascii="Calibri" w:cs="Calibri" w:eastAsia="Calibri" w:hAnsi="Calibri"/>
          <w:color w:val="595959"/>
          <w:sz w:val="18"/>
          <w:szCs w:val="18"/>
        </w:rPr>
        <w:t xml:space="preserve">www.febiac.be/en/article/the-circular-economy-going-full-circle-with-febelauto</w:t>
      </w:r>
    </w:p>
    <w:p>
      <w:pPr>
        <w:spacing w:after="40" w:line="280"/>
      </w:pPr>
      <w:r>
        <w:rPr>
          <w:rFonts w:ascii="Calibri" w:cs="Calibri" w:eastAsia="Calibri" w:hAnsi="Calibri"/>
          <w:sz w:val="18"/>
          <w:szCs w:val="18"/>
        </w:rPr>
        <w:t xml:space="preserve">Recycling International - Belgium ELV target - </w:t>
      </w:r>
      <w:r>
        <w:rPr>
          <w:rFonts w:ascii="Calibri" w:cs="Calibri" w:eastAsia="Calibri" w:hAnsi="Calibri"/>
          <w:color w:val="595959"/>
          <w:sz w:val="18"/>
          <w:szCs w:val="18"/>
        </w:rPr>
        <w:t xml:space="preserve">recyclinginternational.com/business/95-elv-recycling-target-within-reach-for-belgium/5491/</w:t>
      </w:r>
    </w:p>
    <w:p>
      <w:pPr>
        <w:spacing w:after="40" w:line="280"/>
      </w:pPr>
      <w:r>
        <w:rPr>
          <w:rFonts w:ascii="Calibri" w:cs="Calibri" w:eastAsia="Calibri" w:hAnsi="Calibri"/>
          <w:sz w:val="18"/>
          <w:szCs w:val="18"/>
        </w:rPr>
        <w:t xml:space="preserve">CE Monitor - valorisation of end-of-life cars (could not be opened) - </w:t>
      </w:r>
      <w:r>
        <w:rPr>
          <w:rFonts w:ascii="Calibri" w:cs="Calibri" w:eastAsia="Calibri" w:hAnsi="Calibri"/>
          <w:color w:val="595959"/>
          <w:sz w:val="18"/>
          <w:szCs w:val="18"/>
        </w:rPr>
        <w:t xml:space="preserve">cemonitor.be/en/indicator/mobility/lifecycle/valorisation-of-end-of-life-cars-via-official-demolition/</w:t>
      </w:r>
    </w:p>
    <w:p>
      <w:pPr>
        <w:spacing w:after="40" w:line="280"/>
      </w:pPr>
      <w:r>
        <w:rPr>
          <w:rFonts w:ascii="Calibri" w:cs="Calibri" w:eastAsia="Calibri" w:hAnsi="Calibri"/>
          <w:sz w:val="18"/>
          <w:szCs w:val="18"/>
        </w:rPr>
        <w:t xml:space="preserve">EC ELV Directive Implementation Report 2014-2017 - </w:t>
      </w:r>
      <w:r>
        <w:rPr>
          <w:rFonts w:ascii="Calibri" w:cs="Calibri" w:eastAsia="Calibri" w:hAnsi="Calibri"/>
          <w:color w:val="595959"/>
          <w:sz w:val="18"/>
          <w:szCs w:val="18"/>
        </w:rPr>
        <w:t xml:space="preserve">ec.europa.eu/environment/pdf/waste/elv/</w:t>
      </w:r>
    </w:p>
    <w:p>
      <w:pPr>
        <w:spacing w:after="40" w:line="280"/>
      </w:pPr>
      <w:r>
        <w:rPr>
          <w:rFonts w:ascii="Calibri" w:cs="Calibri" w:eastAsia="Calibri" w:hAnsi="Calibri"/>
          <w:sz w:val="18"/>
          <w:szCs w:val="18"/>
        </w:rPr>
        <w:t xml:space="preserve">Belgian federal ELV page - </w:t>
      </w:r>
      <w:r>
        <w:rPr>
          <w:rFonts w:ascii="Calibri" w:cs="Calibri" w:eastAsia="Calibri" w:hAnsi="Calibri"/>
          <w:color w:val="595959"/>
          <w:sz w:val="18"/>
          <w:szCs w:val="18"/>
        </w:rPr>
        <w:t xml:space="preserve">www.health.belgium.be/en/end-life-vehicles</w:t>
      </w:r>
    </w:p>
    <w:p>
      <w:pPr>
        <w:pStyle w:val="Heading1"/>
        <w:pBdr>
          <w:bottom w:val="single" w:color="1F4E5F" w:sz="6" w:space="4"/>
        </w:pBdr>
        <w:spacing w:after="140" w:before="300"/>
      </w:pPr>
      <w:r>
        <w:rPr>
          <w:rFonts w:ascii="Calibri" w:cs="Calibri" w:eastAsia="Calibri" w:hAnsi="Calibri"/>
          <w:b/>
          <w:bCs/>
          <w:color w:val="1F4E5F"/>
          <w:sz w:val="25"/>
          <w:szCs w:val="25"/>
        </w:rPr>
        <w:t xml:space="preserve">B. Latest Available ELV Statistics - Belgium 2023</w:t>
      </w:r>
    </w:p>
    <w:p>
      <w:pPr>
        <w:spacing w:after="120" w:line="280"/>
      </w:pPr>
      <w:r>
        <w:rPr>
          <w:rFonts w:ascii="Calibri" w:cs="Calibri" w:eastAsia="Calibri" w:hAnsi="Calibri"/>
          <w:sz w:val="21"/>
          <w:szCs w:val="21"/>
        </w:rPr>
        <w:t xml:space="preserve">All figures reported by Belgium, from Eurostat dataflows ENV_WASELVT and ENV_WASELV, vintage 28 April 2026, loaded via this project's pipeline.</w:t>
      </w:r>
    </w:p>
    <w:tbl>
      <w:tblPr>
        <w:tblW w:type="dxa" w:w="9360"/>
        <w:tblBorders>
          <w:top w:val="single" w:color="BFBFBF" w:sz="4"/>
          <w:left w:val="none"/>
          <w:bottom w:val="single" w:color="BFBFBF" w:sz="4"/>
          <w:right w:val="none"/>
          <w:insideH w:val="single" w:color="DEDEDE" w:sz="2"/>
          <w:insideV w:val="none"/>
        </w:tblBorders>
      </w:tblPr>
      <w:tblGrid>
        <w:gridCol w:w="3100"/>
        <w:gridCol w:w="2400"/>
        <w:gridCol w:w="3860"/>
      </w:tblGrid>
      <w:tr>
        <w:trPr>
          <w:tblHeader/>
        </w:trPr>
        <w:tc>
          <w:tcPr>
            <w:tcW w:type="dxa" w:w="3100"/>
            <w:shd w:fill="E8EEF1" w:color="auto" w:val="clear"/>
            <w:tcMar>
              <w:top w:type="dxa" w:w="45"/>
              <w:left w:type="dxa" w:w="85"/>
              <w:bottom w:type="dxa" w:w="45"/>
              <w:right w:type="dxa" w:w="85"/>
            </w:tcMar>
          </w:tcPr>
          <w:p>
            <w:pPr>
              <w:spacing w:after="0" w:line="230"/>
            </w:pPr>
            <w:r>
              <w:rPr>
                <w:rFonts w:ascii="Calibri" w:cs="Calibri" w:eastAsia="Calibri" w:hAnsi="Calibri"/>
                <w:b/>
                <w:bCs/>
                <w:sz w:val="18"/>
                <w:szCs w:val="18"/>
              </w:rPr>
              <w:t xml:space="preserve">Metric</w:t>
            </w:r>
          </w:p>
        </w:tc>
        <w:tc>
          <w:tcPr>
            <w:tcW w:type="dxa" w:w="2400"/>
            <w:shd w:fill="E8EEF1" w:color="auto" w:val="clear"/>
            <w:tcMar>
              <w:top w:type="dxa" w:w="45"/>
              <w:left w:type="dxa" w:w="85"/>
              <w:bottom w:type="dxa" w:w="45"/>
              <w:right w:type="dxa" w:w="85"/>
            </w:tcMar>
          </w:tcPr>
          <w:p>
            <w:pPr>
              <w:spacing w:after="0" w:line="230"/>
            </w:pPr>
            <w:r>
              <w:rPr>
                <w:rFonts w:ascii="Calibri" w:cs="Calibri" w:eastAsia="Calibri" w:hAnsi="Calibri"/>
                <w:b/>
                <w:bCs/>
                <w:sz w:val="18"/>
                <w:szCs w:val="18"/>
              </w:rPr>
              <w:t xml:space="preserve">Value</w:t>
            </w:r>
          </w:p>
        </w:tc>
        <w:tc>
          <w:tcPr>
            <w:tcW w:type="dxa" w:w="3860"/>
            <w:shd w:fill="E8EEF1" w:color="auto" w:val="clear"/>
            <w:tcMar>
              <w:top w:type="dxa" w:w="45"/>
              <w:left w:type="dxa" w:w="85"/>
              <w:bottom w:type="dxa" w:w="45"/>
              <w:right w:type="dxa" w:w="85"/>
            </w:tcMar>
          </w:tcPr>
          <w:p>
            <w:pPr>
              <w:spacing w:after="0" w:line="230"/>
            </w:pPr>
            <w:r>
              <w:rPr>
                <w:rFonts w:ascii="Calibri" w:cs="Calibri" w:eastAsia="Calibri" w:hAnsi="Calibri"/>
                <w:b/>
                <w:bCs/>
                <w:sz w:val="18"/>
                <w:szCs w:val="18"/>
              </w:rPr>
              <w:t xml:space="preserve">Definition</w:t>
            </w:r>
          </w:p>
        </w:tc>
      </w:tr>
      <w:tr>
        <w:tc>
          <w:tcPr>
            <w:tcW w:type="dxa" w:w="3100"/>
            <w:tcMar>
              <w:top w:type="dxa" w:w="45"/>
              <w:left w:type="dxa" w:w="85"/>
              <w:bottom w:type="dxa" w:w="45"/>
              <w:right w:type="dxa" w:w="85"/>
            </w:tcMar>
          </w:tcPr>
          <w:p>
            <w:pPr>
              <w:spacing w:after="0" w:line="230"/>
            </w:pPr>
            <w:r>
              <w:rPr>
                <w:rFonts w:ascii="Calibri" w:cs="Calibri" w:eastAsia="Calibri" w:hAnsi="Calibri"/>
                <w:sz w:val="18"/>
                <w:szCs w:val="18"/>
              </w:rPr>
              <w:t xml:space="preserve">ELVs generated</w:t>
            </w:r>
          </w:p>
        </w:tc>
        <w:tc>
          <w:tcPr>
            <w:tcW w:type="dxa" w:w="2400"/>
            <w:tcMar>
              <w:top w:type="dxa" w:w="45"/>
              <w:left w:type="dxa" w:w="85"/>
              <w:bottom w:type="dxa" w:w="45"/>
              <w:right w:type="dxa" w:w="85"/>
            </w:tcMar>
          </w:tcPr>
          <w:p>
            <w:pPr>
              <w:spacing w:after="0" w:line="230"/>
            </w:pPr>
            <w:r>
              <w:rPr>
                <w:rFonts w:ascii="Calibri" w:cs="Calibri" w:eastAsia="Calibri" w:hAnsi="Calibri"/>
                <w:sz w:val="18"/>
                <w:szCs w:val="18"/>
              </w:rPr>
              <w:t xml:space="preserve">63,592 vehicles</w:t>
            </w:r>
          </w:p>
        </w:tc>
        <w:tc>
          <w:tcPr>
            <w:tcW w:type="dxa" w:w="3860"/>
            <w:tcMar>
              <w:top w:type="dxa" w:w="45"/>
              <w:left w:type="dxa" w:w="85"/>
              <w:bottom w:type="dxa" w:w="45"/>
              <w:right w:type="dxa" w:w="85"/>
            </w:tcMar>
          </w:tcPr>
          <w:p>
            <w:pPr>
              <w:spacing w:after="0" w:line="230"/>
            </w:pPr>
            <w:r>
              <w:rPr>
                <w:rFonts w:ascii="Calibri" w:cs="Calibri" w:eastAsia="Calibri" w:hAnsi="Calibri"/>
                <w:sz w:val="18"/>
                <w:szCs w:val="18"/>
              </w:rPr>
              <w:t xml:space="preserve">GEN, unit NR</w:t>
            </w:r>
          </w:p>
        </w:tc>
      </w:tr>
      <w:tr>
        <w:tc>
          <w:tcPr>
            <w:tcW w:type="dxa" w:w="3100"/>
            <w:tcMar>
              <w:top w:type="dxa" w:w="45"/>
              <w:left w:type="dxa" w:w="85"/>
              <w:bottom w:type="dxa" w:w="45"/>
              <w:right w:type="dxa" w:w="85"/>
            </w:tcMar>
          </w:tcPr>
          <w:p>
            <w:pPr>
              <w:spacing w:after="0" w:line="230"/>
            </w:pPr>
            <w:r>
              <w:rPr>
                <w:rFonts w:ascii="Calibri" w:cs="Calibri" w:eastAsia="Calibri" w:hAnsi="Calibri"/>
                <w:sz w:val="18"/>
                <w:szCs w:val="18"/>
              </w:rPr>
              <w:t xml:space="preserve">Total weight generated</w:t>
            </w:r>
          </w:p>
        </w:tc>
        <w:tc>
          <w:tcPr>
            <w:tcW w:type="dxa" w:w="2400"/>
            <w:tcMar>
              <w:top w:type="dxa" w:w="45"/>
              <w:left w:type="dxa" w:w="85"/>
              <w:bottom w:type="dxa" w:w="45"/>
              <w:right w:type="dxa" w:w="85"/>
            </w:tcMar>
          </w:tcPr>
          <w:p>
            <w:pPr>
              <w:spacing w:after="0" w:line="230"/>
            </w:pPr>
            <w:r>
              <w:rPr>
                <w:rFonts w:ascii="Calibri" w:cs="Calibri" w:eastAsia="Calibri" w:hAnsi="Calibri"/>
                <w:sz w:val="18"/>
                <w:szCs w:val="18"/>
              </w:rPr>
              <w:t xml:space="preserve">80,190 t</w:t>
            </w:r>
          </w:p>
        </w:tc>
        <w:tc>
          <w:tcPr>
            <w:tcW w:type="dxa" w:w="3860"/>
            <w:tcMar>
              <w:top w:type="dxa" w:w="45"/>
              <w:left w:type="dxa" w:w="85"/>
              <w:bottom w:type="dxa" w:w="45"/>
              <w:right w:type="dxa" w:w="85"/>
            </w:tcMar>
          </w:tcPr>
          <w:p>
            <w:pPr>
              <w:spacing w:after="0" w:line="230"/>
            </w:pPr>
            <w:r>
              <w:rPr>
                <w:rFonts w:ascii="Calibri" w:cs="Calibri" w:eastAsia="Calibri" w:hAnsi="Calibri"/>
                <w:sz w:val="18"/>
                <w:szCs w:val="18"/>
              </w:rPr>
              <w:t xml:space="preserve">GEN, unit T</w:t>
            </w:r>
          </w:p>
        </w:tc>
      </w:tr>
      <w:tr>
        <w:tc>
          <w:tcPr>
            <w:tcW w:type="dxa" w:w="3100"/>
            <w:tcMar>
              <w:top w:type="dxa" w:w="45"/>
              <w:left w:type="dxa" w:w="85"/>
              <w:bottom w:type="dxa" w:w="45"/>
              <w:right w:type="dxa" w:w="85"/>
            </w:tcMar>
          </w:tcPr>
          <w:p>
            <w:pPr>
              <w:spacing w:after="0" w:line="230"/>
            </w:pPr>
            <w:r>
              <w:rPr>
                <w:rFonts w:ascii="Calibri" w:cs="Calibri" w:eastAsia="Calibri" w:hAnsi="Calibri"/>
                <w:sz w:val="18"/>
                <w:szCs w:val="18"/>
              </w:rPr>
              <w:t xml:space="preserve">Reuse + recycling rate</w:t>
            </w:r>
          </w:p>
        </w:tc>
        <w:tc>
          <w:tcPr>
            <w:tcW w:type="dxa" w:w="2400"/>
            <w:tcMar>
              <w:top w:type="dxa" w:w="45"/>
              <w:left w:type="dxa" w:w="85"/>
              <w:bottom w:type="dxa" w:w="45"/>
              <w:right w:type="dxa" w:w="85"/>
            </w:tcMar>
          </w:tcPr>
          <w:p>
            <w:pPr>
              <w:spacing w:after="0" w:line="230"/>
            </w:pPr>
            <w:r>
              <w:rPr>
                <w:rFonts w:ascii="Calibri" w:cs="Calibri" w:eastAsia="Calibri" w:hAnsi="Calibri"/>
                <w:sz w:val="18"/>
                <w:szCs w:val="18"/>
              </w:rPr>
              <w:t xml:space="preserve">93.5%</w:t>
            </w:r>
          </w:p>
        </w:tc>
        <w:tc>
          <w:tcPr>
            <w:tcW w:type="dxa" w:w="3860"/>
            <w:tcMar>
              <w:top w:type="dxa" w:w="45"/>
              <w:left w:type="dxa" w:w="85"/>
              <w:bottom w:type="dxa" w:w="45"/>
              <w:right w:type="dxa" w:w="85"/>
            </w:tcMar>
          </w:tcPr>
          <w:p>
            <w:pPr>
              <w:spacing w:after="0" w:line="230"/>
            </w:pPr>
            <w:r>
              <w:rPr>
                <w:rFonts w:ascii="Calibri" w:cs="Calibri" w:eastAsia="Calibri" w:hAnsi="Calibri"/>
                <w:sz w:val="18"/>
                <w:szCs w:val="18"/>
              </w:rPr>
              <w:t xml:space="preserve">RCY_REU, unit PC - target 85%</w:t>
            </w:r>
          </w:p>
        </w:tc>
      </w:tr>
      <w:tr>
        <w:tc>
          <w:tcPr>
            <w:tcW w:type="dxa" w:w="3100"/>
            <w:tcMar>
              <w:top w:type="dxa" w:w="45"/>
              <w:left w:type="dxa" w:w="85"/>
              <w:bottom w:type="dxa" w:w="45"/>
              <w:right w:type="dxa" w:w="85"/>
            </w:tcMar>
          </w:tcPr>
          <w:p>
            <w:pPr>
              <w:spacing w:after="0" w:line="230"/>
            </w:pPr>
            <w:r>
              <w:rPr>
                <w:rFonts w:ascii="Calibri" w:cs="Calibri" w:eastAsia="Calibri" w:hAnsi="Calibri"/>
                <w:sz w:val="18"/>
                <w:szCs w:val="18"/>
              </w:rPr>
              <w:t xml:space="preserve">Reuse + recovery rate</w:t>
            </w:r>
          </w:p>
        </w:tc>
        <w:tc>
          <w:tcPr>
            <w:tcW w:type="dxa" w:w="2400"/>
            <w:tcMar>
              <w:top w:type="dxa" w:w="45"/>
              <w:left w:type="dxa" w:w="85"/>
              <w:bottom w:type="dxa" w:w="45"/>
              <w:right w:type="dxa" w:w="85"/>
            </w:tcMar>
          </w:tcPr>
          <w:p>
            <w:pPr>
              <w:spacing w:after="0" w:line="230"/>
            </w:pPr>
            <w:r>
              <w:rPr>
                <w:rFonts w:ascii="Calibri" w:cs="Calibri" w:eastAsia="Calibri" w:hAnsi="Calibri"/>
                <w:sz w:val="18"/>
                <w:szCs w:val="18"/>
              </w:rPr>
              <w:t xml:space="preserve">97.7%</w:t>
            </w:r>
          </w:p>
        </w:tc>
        <w:tc>
          <w:tcPr>
            <w:tcW w:type="dxa" w:w="3860"/>
            <w:tcMar>
              <w:top w:type="dxa" w:w="45"/>
              <w:left w:type="dxa" w:w="85"/>
              <w:bottom w:type="dxa" w:w="45"/>
              <w:right w:type="dxa" w:w="85"/>
            </w:tcMar>
          </w:tcPr>
          <w:p>
            <w:pPr>
              <w:spacing w:after="0" w:line="230"/>
            </w:pPr>
            <w:r>
              <w:rPr>
                <w:rFonts w:ascii="Calibri" w:cs="Calibri" w:eastAsia="Calibri" w:hAnsi="Calibri"/>
                <w:sz w:val="18"/>
                <w:szCs w:val="18"/>
              </w:rPr>
              <w:t xml:space="preserve">RCV_REU, unit PC - target 95%</w:t>
            </w:r>
          </w:p>
        </w:tc>
      </w:tr>
      <w:tr>
        <w:tc>
          <w:tcPr>
            <w:tcW w:type="dxa" w:w="3100"/>
            <w:tcMar>
              <w:top w:type="dxa" w:w="45"/>
              <w:left w:type="dxa" w:w="85"/>
              <w:bottom w:type="dxa" w:w="45"/>
              <w:right w:type="dxa" w:w="85"/>
            </w:tcMar>
          </w:tcPr>
          <w:p>
            <w:pPr>
              <w:spacing w:after="0" w:line="230"/>
            </w:pPr>
            <w:r>
              <w:rPr>
                <w:rFonts w:ascii="Calibri" w:cs="Calibri" w:eastAsia="Calibri" w:hAnsi="Calibri"/>
                <w:sz w:val="18"/>
                <w:szCs w:val="18"/>
              </w:rPr>
              <w:t xml:space="preserve">Total recycled</w:t>
            </w:r>
          </w:p>
        </w:tc>
        <w:tc>
          <w:tcPr>
            <w:tcW w:type="dxa" w:w="2400"/>
            <w:tcMar>
              <w:top w:type="dxa" w:w="45"/>
              <w:left w:type="dxa" w:w="85"/>
              <w:bottom w:type="dxa" w:w="45"/>
              <w:right w:type="dxa" w:w="85"/>
            </w:tcMar>
          </w:tcPr>
          <w:p>
            <w:pPr>
              <w:spacing w:after="0" w:line="230"/>
            </w:pPr>
            <w:r>
              <w:rPr>
                <w:rFonts w:ascii="Calibri" w:cs="Calibri" w:eastAsia="Calibri" w:hAnsi="Calibri"/>
                <w:sz w:val="18"/>
                <w:szCs w:val="18"/>
              </w:rPr>
              <w:t xml:space="preserve">56,651 t</w:t>
            </w:r>
          </w:p>
        </w:tc>
        <w:tc>
          <w:tcPr>
            <w:tcW w:type="dxa" w:w="3860"/>
            <w:tcMar>
              <w:top w:type="dxa" w:w="45"/>
              <w:left w:type="dxa" w:w="85"/>
              <w:bottom w:type="dxa" w:w="45"/>
              <w:right w:type="dxa" w:w="85"/>
            </w:tcMar>
          </w:tcPr>
          <w:p>
            <w:pPr>
              <w:spacing w:after="0" w:line="230"/>
            </w:pPr>
            <w:r>
              <w:rPr>
                <w:rFonts w:ascii="Calibri" w:cs="Calibri" w:eastAsia="Calibri" w:hAnsi="Calibri"/>
                <w:sz w:val="18"/>
                <w:szCs w:val="18"/>
              </w:rPr>
              <w:t xml:space="preserve">ELV x RCY</w:t>
            </w:r>
          </w:p>
        </w:tc>
      </w:tr>
      <w:tr>
        <w:tc>
          <w:tcPr>
            <w:tcW w:type="dxa" w:w="3100"/>
            <w:tcMar>
              <w:top w:type="dxa" w:w="45"/>
              <w:left w:type="dxa" w:w="85"/>
              <w:bottom w:type="dxa" w:w="45"/>
              <w:right w:type="dxa" w:w="85"/>
            </w:tcMar>
          </w:tcPr>
          <w:p>
            <w:pPr>
              <w:spacing w:after="0" w:line="230"/>
            </w:pPr>
            <w:r>
              <w:rPr>
                <w:rFonts w:ascii="Calibri" w:cs="Calibri" w:eastAsia="Calibri" w:hAnsi="Calibri"/>
                <w:sz w:val="18"/>
                <w:szCs w:val="18"/>
              </w:rPr>
              <w:t xml:space="preserve">Total reused</w:t>
            </w:r>
          </w:p>
        </w:tc>
        <w:tc>
          <w:tcPr>
            <w:tcW w:type="dxa" w:w="2400"/>
            <w:tcMar>
              <w:top w:type="dxa" w:w="45"/>
              <w:left w:type="dxa" w:w="85"/>
              <w:bottom w:type="dxa" w:w="45"/>
              <w:right w:type="dxa" w:w="85"/>
            </w:tcMar>
          </w:tcPr>
          <w:p>
            <w:pPr>
              <w:spacing w:after="0" w:line="230"/>
            </w:pPr>
            <w:r>
              <w:rPr>
                <w:rFonts w:ascii="Calibri" w:cs="Calibri" w:eastAsia="Calibri" w:hAnsi="Calibri"/>
                <w:sz w:val="18"/>
                <w:szCs w:val="18"/>
              </w:rPr>
              <w:t xml:space="preserve">18,303 t</w:t>
            </w:r>
          </w:p>
        </w:tc>
        <w:tc>
          <w:tcPr>
            <w:tcW w:type="dxa" w:w="3860"/>
            <w:tcMar>
              <w:top w:type="dxa" w:w="45"/>
              <w:left w:type="dxa" w:w="85"/>
              <w:bottom w:type="dxa" w:w="45"/>
              <w:right w:type="dxa" w:w="85"/>
            </w:tcMar>
          </w:tcPr>
          <w:p>
            <w:pPr>
              <w:spacing w:after="0" w:line="230"/>
            </w:pPr>
            <w:r>
              <w:rPr>
                <w:rFonts w:ascii="Calibri" w:cs="Calibri" w:eastAsia="Calibri" w:hAnsi="Calibri"/>
                <w:sz w:val="18"/>
                <w:szCs w:val="18"/>
              </w:rPr>
              <w:t xml:space="preserve">ELV x REU</w:t>
            </w:r>
          </w:p>
        </w:tc>
      </w:tr>
      <w:tr>
        <w:tc>
          <w:tcPr>
            <w:tcW w:type="dxa" w:w="3100"/>
            <w:tcMar>
              <w:top w:type="dxa" w:w="45"/>
              <w:left w:type="dxa" w:w="85"/>
              <w:bottom w:type="dxa" w:w="45"/>
              <w:right w:type="dxa" w:w="85"/>
            </w:tcMar>
          </w:tcPr>
          <w:p>
            <w:pPr>
              <w:spacing w:after="0" w:line="230"/>
            </w:pPr>
            <w:r>
              <w:rPr>
                <w:rFonts w:ascii="Calibri" w:cs="Calibri" w:eastAsia="Calibri" w:hAnsi="Calibri"/>
                <w:sz w:val="18"/>
                <w:szCs w:val="18"/>
              </w:rPr>
              <w:t xml:space="preserve">Exported (in ELV stream)</w:t>
            </w:r>
          </w:p>
        </w:tc>
        <w:tc>
          <w:tcPr>
            <w:tcW w:type="dxa" w:w="2400"/>
            <w:tcMar>
              <w:top w:type="dxa" w:w="45"/>
              <w:left w:type="dxa" w:w="85"/>
              <w:bottom w:type="dxa" w:w="45"/>
              <w:right w:type="dxa" w:w="85"/>
            </w:tcMar>
          </w:tcPr>
          <w:p>
            <w:pPr>
              <w:spacing w:after="0" w:line="230"/>
            </w:pPr>
            <w:r>
              <w:rPr>
                <w:rFonts w:ascii="Calibri" w:cs="Calibri" w:eastAsia="Calibri" w:hAnsi="Calibri"/>
                <w:sz w:val="18"/>
                <w:szCs w:val="18"/>
              </w:rPr>
              <w:t xml:space="preserve">5,371 t</w:t>
            </w:r>
          </w:p>
        </w:tc>
        <w:tc>
          <w:tcPr>
            <w:tcW w:type="dxa" w:w="3860"/>
            <w:tcMar>
              <w:top w:type="dxa" w:w="45"/>
              <w:left w:type="dxa" w:w="85"/>
              <w:bottom w:type="dxa" w:w="45"/>
              <w:right w:type="dxa" w:w="85"/>
            </w:tcMar>
          </w:tcPr>
          <w:p>
            <w:pPr>
              <w:spacing w:after="0" w:line="230"/>
            </w:pPr>
            <w:r>
              <w:rPr>
                <w:rFonts w:ascii="Calibri" w:cs="Calibri" w:eastAsia="Calibri" w:hAnsi="Calibri"/>
                <w:sz w:val="18"/>
                <w:szCs w:val="18"/>
              </w:rPr>
              <w:t xml:space="preserve">EXP x GEN</w:t>
            </w:r>
          </w:p>
        </w:tc>
      </w:tr>
    </w:tbl>
    <w:p>
      <w:pPr>
        <w:pStyle w:val="Heading1"/>
        <w:pBdr>
          <w:bottom w:val="single" w:color="1F4E5F" w:sz="6" w:space="4"/>
        </w:pBdr>
        <w:spacing w:after="140" w:before="300"/>
      </w:pPr>
      <w:r>
        <w:rPr>
          <w:rFonts w:ascii="Calibri" w:cs="Calibri" w:eastAsia="Calibri" w:hAnsi="Calibri"/>
          <w:b/>
          <w:bCs/>
          <w:color w:val="1F4E5F"/>
          <w:sz w:val="25"/>
          <w:szCs w:val="25"/>
        </w:rPr>
        <w:t xml:space="preserve">C. Recovered Material Breakdown - Belgium 2023</w:t>
      </w:r>
    </w:p>
    <w:p>
      <w:pPr>
        <w:spacing w:after="120" w:line="280"/>
      </w:pPr>
      <w:r>
        <w:rPr>
          <w:rFonts w:ascii="Calibri" w:cs="Calibri" w:eastAsia="Calibri" w:hAnsi="Calibri"/>
          <w:sz w:val="21"/>
          <w:szCs w:val="21"/>
        </w:rPr>
        <w:t xml:space="preserve">All figures reported by Belgium to Eurostat, in tonnes recycled. The breakdown reconciles exactly: ELV recycled 56,651 t = dismantling and depollution 8,609 t + shredding 43,231 t + exported 4,811 t.</w:t>
      </w:r>
    </w:p>
    <w:tbl>
      <w:tblPr>
        <w:tblW w:type="dxa" w:w="9360"/>
        <w:tblBorders>
          <w:top w:val="single" w:color="BFBFBF" w:sz="4"/>
          <w:left w:val="none"/>
          <w:bottom w:val="single" w:color="BFBFBF" w:sz="4"/>
          <w:right w:val="none"/>
          <w:insideH w:val="single" w:color="DEDEDE" w:sz="2"/>
          <w:insideV w:val="none"/>
        </w:tblBorders>
      </w:tblPr>
      <w:tblGrid>
        <w:gridCol w:w="1400"/>
        <w:gridCol w:w="4160"/>
        <w:gridCol w:w="1700"/>
        <w:gridCol w:w="2100"/>
      </w:tblGrid>
      <w:tr>
        <w:trPr>
          <w:tblHeader/>
        </w:trPr>
        <w:tc>
          <w:tcPr>
            <w:tcW w:type="dxa" w:w="1400"/>
            <w:shd w:fill="E8EEF1" w:color="auto" w:val="clear"/>
            <w:tcMar>
              <w:top w:type="dxa" w:w="45"/>
              <w:left w:type="dxa" w:w="85"/>
              <w:bottom w:type="dxa" w:w="45"/>
              <w:right w:type="dxa" w:w="85"/>
            </w:tcMar>
          </w:tcPr>
          <w:p>
            <w:pPr>
              <w:spacing w:after="0" w:line="230"/>
            </w:pPr>
            <w:r>
              <w:rPr>
                <w:rFonts w:ascii="Calibri" w:cs="Calibri" w:eastAsia="Calibri" w:hAnsi="Calibri"/>
                <w:b/>
                <w:bCs/>
                <w:sz w:val="18"/>
                <w:szCs w:val="18"/>
              </w:rPr>
              <w:t xml:space="preserve">Code</w:t>
            </w:r>
          </w:p>
        </w:tc>
        <w:tc>
          <w:tcPr>
            <w:tcW w:type="dxa" w:w="4160"/>
            <w:shd w:fill="E8EEF1" w:color="auto" w:val="clear"/>
            <w:tcMar>
              <w:top w:type="dxa" w:w="45"/>
              <w:left w:type="dxa" w:w="85"/>
              <w:bottom w:type="dxa" w:w="45"/>
              <w:right w:type="dxa" w:w="85"/>
            </w:tcMar>
          </w:tcPr>
          <w:p>
            <w:pPr>
              <w:spacing w:after="0" w:line="230"/>
            </w:pPr>
            <w:r>
              <w:rPr>
                <w:rFonts w:ascii="Calibri" w:cs="Calibri" w:eastAsia="Calibri" w:hAnsi="Calibri"/>
                <w:b/>
                <w:bCs/>
                <w:sz w:val="18"/>
                <w:szCs w:val="18"/>
              </w:rPr>
              <w:t xml:space="preserve">Material</w:t>
            </w:r>
          </w:p>
        </w:tc>
        <w:tc>
          <w:tcPr>
            <w:tcW w:type="dxa" w:w="170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8"/>
                <w:szCs w:val="18"/>
              </w:rPr>
              <w:t xml:space="preserve">2023 (t)</w:t>
            </w:r>
          </w:p>
        </w:tc>
        <w:tc>
          <w:tcPr>
            <w:tcW w:type="dxa" w:w="210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8"/>
                <w:szCs w:val="18"/>
              </w:rPr>
              <w:t xml:space="preserve">Stream</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W191001</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Ferrous scrap (steel) from shredding</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33,892</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Shredding</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W1601B</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Metal components from dismantling</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4,960</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Dismantling</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W191002</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Non-ferrous (Al, Cu, Zn, Pb) from shredding</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4,797</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Shredding</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W1910A</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Shredder Light Fraction (SLF)</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3,282</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Shredding</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W160103</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Tires</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1,557</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Dismantling</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W1910B</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Other shredding residues</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1,260</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Shredding</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W1601C</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Other dismantling materials</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945</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Dismantling</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W1606</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Batteries and accumulators</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516</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Dismantling</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LIQ</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Liquids (excluding fuel)</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398</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Depollution</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W160119</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Large plastic parts</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121</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Dismantling</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W1608</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Catalytic converters</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83</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Dismantling</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W160120</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Glass</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16</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Dismantling</w:t>
            </w:r>
          </w:p>
        </w:tc>
      </w:tr>
      <w:tr>
        <w:tc>
          <w:tcPr>
            <w:tcW w:type="dxa" w:w="1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W160107</w:t>
            </w:r>
          </w:p>
        </w:tc>
        <w:tc>
          <w:tcPr>
            <w:tcW w:type="dxa" w:w="416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Oil filters</w:t>
            </w:r>
          </w:p>
        </w:tc>
        <w:tc>
          <w:tcPr>
            <w:tcW w:type="dxa" w:w="17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14</w:t>
            </w:r>
          </w:p>
        </w:tc>
        <w:tc>
          <w:tcPr>
            <w:tcW w:type="dxa" w:w="21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Dismantling</w:t>
            </w:r>
          </w:p>
        </w:tc>
      </w:tr>
      <w:tr>
        <w:tc>
          <w:tcPr>
            <w:tcW w:type="dxa" w:w="1400"/>
            <w:tcMar>
              <w:top w:type="dxa" w:w="45"/>
              <w:left w:type="dxa" w:w="85"/>
              <w:bottom w:type="dxa" w:w="45"/>
              <w:right w:type="dxa" w:w="85"/>
            </w:tcMar>
          </w:tcPr>
          <w:p>
            <w:pPr>
              <w:spacing w:after="0" w:line="230"/>
            </w:pPr>
            <w:r>
              <w:rPr>
                <w:rFonts w:ascii="Calibri" w:cs="Calibri" w:eastAsia="Calibri" w:hAnsi="Calibri"/>
                <w:b/>
                <w:bCs/>
                <w:color w:val="1F4E5F"/>
                <w:sz w:val="18"/>
                <w:szCs w:val="18"/>
              </w:rPr>
              <w:t xml:space="preserve"/>
            </w:r>
          </w:p>
        </w:tc>
        <w:tc>
          <w:tcPr>
            <w:tcW w:type="dxa" w:w="4160"/>
            <w:tcMar>
              <w:top w:type="dxa" w:w="45"/>
              <w:left w:type="dxa" w:w="85"/>
              <w:bottom w:type="dxa" w:w="45"/>
              <w:right w:type="dxa" w:w="85"/>
            </w:tcMar>
          </w:tcPr>
          <w:p>
            <w:pPr>
              <w:spacing w:after="0" w:line="230"/>
            </w:pPr>
            <w:r>
              <w:rPr>
                <w:rFonts w:ascii="Calibri" w:cs="Calibri" w:eastAsia="Calibri" w:hAnsi="Calibri"/>
                <w:b/>
                <w:bCs/>
                <w:color w:val="1F4E5F"/>
                <w:sz w:val="18"/>
                <w:szCs w:val="18"/>
              </w:rPr>
              <w:t xml:space="preserve">Domestic total (excluding export)</w:t>
            </w:r>
          </w:p>
        </w:tc>
        <w:tc>
          <w:tcPr>
            <w:tcW w:type="dxa" w:w="1700"/>
            <w:tcMar>
              <w:top w:type="dxa" w:w="45"/>
              <w:left w:type="dxa" w:w="85"/>
              <w:bottom w:type="dxa" w:w="45"/>
              <w:right w:type="dxa" w:w="85"/>
            </w:tcMar>
          </w:tcPr>
          <w:p>
            <w:pPr>
              <w:spacing w:after="0" w:line="230"/>
              <w:jc w:val="right"/>
            </w:pPr>
            <w:r>
              <w:rPr>
                <w:rFonts w:ascii="Calibri" w:cs="Calibri" w:eastAsia="Calibri" w:hAnsi="Calibri"/>
                <w:b/>
                <w:bCs/>
                <w:color w:val="1F4E5F"/>
                <w:sz w:val="18"/>
                <w:szCs w:val="18"/>
              </w:rPr>
              <w:t xml:space="preserve">51,840</w:t>
            </w:r>
          </w:p>
        </w:tc>
        <w:tc>
          <w:tcPr>
            <w:tcW w:type="dxa" w:w="2100"/>
            <w:tcMar>
              <w:top w:type="dxa" w:w="45"/>
              <w:left w:type="dxa" w:w="85"/>
              <w:bottom w:type="dxa" w:w="45"/>
              <w:right w:type="dxa" w:w="85"/>
            </w:tcMar>
          </w:tcPr>
          <w:p>
            <w:pPr>
              <w:spacing w:after="0" w:line="230"/>
              <w:jc w:val="right"/>
            </w:pPr>
            <w:r>
              <w:rPr>
                <w:rFonts w:ascii="Calibri" w:cs="Calibri" w:eastAsia="Calibri" w:hAnsi="Calibri"/>
                <w:b/>
                <w:bCs/>
                <w:color w:val="1F4E5F"/>
                <w:sz w:val="18"/>
                <w:szCs w:val="18"/>
              </w:rPr>
              <w:t xml:space="preserve"/>
            </w:r>
          </w:p>
        </w:tc>
      </w:tr>
    </w:tbl>
    <w:p>
      <w:pPr>
        <w:spacing w:after="150" w:line="280"/>
      </w:pPr>
      <w:r>
        <w:rPr>
          <w:rFonts w:ascii="Calibri" w:cs="Calibri" w:eastAsia="Calibri" w:hAnsi="Calibri"/>
          <w:color w:val="595959"/>
          <w:sz w:val="19"/>
          <w:szCs w:val="19"/>
        </w:rPr>
        <w:t xml:space="preserve">Note: Eurostat does not separate aluminum from copper - both sit inside W191002. Vehicle-level aluminum and copper tonnages are not available from this source.</w:t>
      </w:r>
    </w:p>
    <w:p>
      <w:pPr>
        <w:pStyle w:val="Heading2"/>
        <w:spacing w:after="80" w:before="200"/>
      </w:pPr>
      <w:r>
        <w:rPr>
          <w:rFonts w:ascii="Calibri" w:cs="Calibri" w:eastAsia="Calibri" w:hAnsi="Calibri"/>
          <w:b/>
          <w:bCs/>
          <w:sz w:val="22"/>
          <w:szCs w:val="22"/>
        </w:rPr>
        <w:t xml:space="preserve">Historical series, recycled tonnes 2015-2023</w:t>
      </w:r>
    </w:p>
    <w:tbl>
      <w:tblPr>
        <w:tblW w:type="dxa" w:w="9360"/>
        <w:tblBorders>
          <w:top w:val="single" w:color="BFBFBF" w:sz="4"/>
          <w:left w:val="none"/>
          <w:bottom w:val="single" w:color="BFBFBF" w:sz="4"/>
          <w:right w:val="none"/>
          <w:insideH w:val="single" w:color="DEDEDE" w:sz="2"/>
          <w:insideV w:val="none"/>
        </w:tblBorders>
      </w:tblPr>
      <w:tblGrid>
        <w:gridCol w:w="3160"/>
        <w:gridCol w:w="1550"/>
        <w:gridCol w:w="1550"/>
        <w:gridCol w:w="1550"/>
        <w:gridCol w:w="1550"/>
      </w:tblGrid>
      <w:tr>
        <w:trPr>
          <w:tblHeader/>
        </w:trPr>
        <w:tc>
          <w:tcPr>
            <w:tcW w:type="dxa" w:w="3160"/>
            <w:shd w:fill="E8EEF1" w:color="auto" w:val="clear"/>
            <w:tcMar>
              <w:top w:type="dxa" w:w="45"/>
              <w:left w:type="dxa" w:w="85"/>
              <w:bottom w:type="dxa" w:w="45"/>
              <w:right w:type="dxa" w:w="85"/>
            </w:tcMar>
          </w:tcPr>
          <w:p>
            <w:pPr>
              <w:spacing w:after="0" w:line="230"/>
            </w:pPr>
            <w:r>
              <w:rPr>
                <w:rFonts w:ascii="Calibri" w:cs="Calibri" w:eastAsia="Calibri" w:hAnsi="Calibri"/>
                <w:b/>
                <w:bCs/>
                <w:sz w:val="18"/>
                <w:szCs w:val="18"/>
              </w:rPr>
              <w:t xml:space="preserve">Material</w:t>
            </w:r>
          </w:p>
        </w:tc>
        <w:tc>
          <w:tcPr>
            <w:tcW w:type="dxa" w:w="155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8"/>
                <w:szCs w:val="18"/>
              </w:rPr>
              <w:t xml:space="preserve">2015</w:t>
            </w:r>
          </w:p>
        </w:tc>
        <w:tc>
          <w:tcPr>
            <w:tcW w:type="dxa" w:w="155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8"/>
                <w:szCs w:val="18"/>
              </w:rPr>
              <w:t xml:space="preserve">2018</w:t>
            </w:r>
          </w:p>
        </w:tc>
        <w:tc>
          <w:tcPr>
            <w:tcW w:type="dxa" w:w="155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8"/>
                <w:szCs w:val="18"/>
              </w:rPr>
              <w:t xml:space="preserve">2021</w:t>
            </w:r>
          </w:p>
        </w:tc>
        <w:tc>
          <w:tcPr>
            <w:tcW w:type="dxa" w:w="155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8"/>
                <w:szCs w:val="18"/>
              </w:rPr>
              <w:t xml:space="preserve">2023</w:t>
            </w:r>
          </w:p>
        </w:tc>
      </w:tr>
      <w:tr>
        <w:tc>
          <w:tcPr>
            <w:tcW w:type="dxa" w:w="3160"/>
            <w:tcMar>
              <w:top w:type="dxa" w:w="45"/>
              <w:left w:type="dxa" w:w="85"/>
              <w:bottom w:type="dxa" w:w="45"/>
              <w:right w:type="dxa" w:w="85"/>
            </w:tcMar>
          </w:tcPr>
          <w:p>
            <w:pPr>
              <w:spacing w:after="0" w:line="230"/>
            </w:pPr>
            <w:r>
              <w:rPr>
                <w:rFonts w:ascii="Calibri" w:cs="Calibri" w:eastAsia="Calibri" w:hAnsi="Calibri"/>
                <w:sz w:val="18"/>
                <w:szCs w:val="18"/>
              </w:rPr>
              <w:t xml:space="preserve">Ferrous from shredding</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53,280</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63,443</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53,521</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33,892</w:t>
            </w:r>
          </w:p>
        </w:tc>
      </w:tr>
      <w:tr>
        <w:tc>
          <w:tcPr>
            <w:tcW w:type="dxa" w:w="3160"/>
            <w:tcMar>
              <w:top w:type="dxa" w:w="45"/>
              <w:left w:type="dxa" w:w="85"/>
              <w:bottom w:type="dxa" w:w="45"/>
              <w:right w:type="dxa" w:w="85"/>
            </w:tcMar>
          </w:tcPr>
          <w:p>
            <w:pPr>
              <w:spacing w:after="0" w:line="230"/>
            </w:pPr>
            <w:r>
              <w:rPr>
                <w:rFonts w:ascii="Calibri" w:cs="Calibri" w:eastAsia="Calibri" w:hAnsi="Calibri"/>
                <w:sz w:val="18"/>
                <w:szCs w:val="18"/>
              </w:rPr>
              <w:t xml:space="preserve">Non-ferrous from shredding</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5,030</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8,990</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7,578</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4,797</w:t>
            </w:r>
          </w:p>
        </w:tc>
      </w:tr>
      <w:tr>
        <w:tc>
          <w:tcPr>
            <w:tcW w:type="dxa" w:w="3160"/>
            <w:tcMar>
              <w:top w:type="dxa" w:w="45"/>
              <w:left w:type="dxa" w:w="85"/>
              <w:bottom w:type="dxa" w:w="45"/>
              <w:right w:type="dxa" w:w="85"/>
            </w:tcMar>
          </w:tcPr>
          <w:p>
            <w:pPr>
              <w:spacing w:after="0" w:line="230"/>
            </w:pPr>
            <w:r>
              <w:rPr>
                <w:rFonts w:ascii="Calibri" w:cs="Calibri" w:eastAsia="Calibri" w:hAnsi="Calibri"/>
                <w:sz w:val="18"/>
                <w:szCs w:val="18"/>
              </w:rPr>
              <w:t xml:space="preserve">Metal components</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7,228</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9,833</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10,359</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4,960</w:t>
            </w:r>
          </w:p>
        </w:tc>
      </w:tr>
      <w:tr>
        <w:tc>
          <w:tcPr>
            <w:tcW w:type="dxa" w:w="3160"/>
            <w:tcMar>
              <w:top w:type="dxa" w:w="45"/>
              <w:left w:type="dxa" w:w="85"/>
              <w:bottom w:type="dxa" w:w="45"/>
              <w:right w:type="dxa" w:w="85"/>
            </w:tcMar>
          </w:tcPr>
          <w:p>
            <w:pPr>
              <w:spacing w:after="0" w:line="230"/>
            </w:pPr>
            <w:r>
              <w:rPr>
                <w:rFonts w:ascii="Calibri" w:cs="Calibri" w:eastAsia="Calibri" w:hAnsi="Calibri"/>
                <w:sz w:val="18"/>
                <w:szCs w:val="18"/>
              </w:rPr>
              <w:t xml:space="preserve">Tires</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2,023</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2,749</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2,071</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1,557</w:t>
            </w:r>
          </w:p>
        </w:tc>
      </w:tr>
      <w:tr>
        <w:tc>
          <w:tcPr>
            <w:tcW w:type="dxa" w:w="3160"/>
            <w:tcMar>
              <w:top w:type="dxa" w:w="45"/>
              <w:left w:type="dxa" w:w="85"/>
              <w:bottom w:type="dxa" w:w="45"/>
              <w:right w:type="dxa" w:w="85"/>
            </w:tcMar>
          </w:tcPr>
          <w:p>
            <w:pPr>
              <w:spacing w:after="0" w:line="230"/>
            </w:pPr>
            <w:r>
              <w:rPr>
                <w:rFonts w:ascii="Calibri" w:cs="Calibri" w:eastAsia="Calibri" w:hAnsi="Calibri"/>
                <w:sz w:val="18"/>
                <w:szCs w:val="18"/>
              </w:rPr>
              <w:t xml:space="preserve">Batteries</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1,064</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1,316</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975</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516</w:t>
            </w:r>
          </w:p>
        </w:tc>
      </w:tr>
      <w:tr>
        <w:tc>
          <w:tcPr>
            <w:tcW w:type="dxa" w:w="3160"/>
            <w:tcMar>
              <w:top w:type="dxa" w:w="45"/>
              <w:left w:type="dxa" w:w="85"/>
              <w:bottom w:type="dxa" w:w="45"/>
              <w:right w:type="dxa" w:w="85"/>
            </w:tcMar>
          </w:tcPr>
          <w:p>
            <w:pPr>
              <w:spacing w:after="0" w:line="230"/>
            </w:pPr>
            <w:r>
              <w:rPr>
                <w:rFonts w:ascii="Calibri" w:cs="Calibri" w:eastAsia="Calibri" w:hAnsi="Calibri"/>
                <w:sz w:val="18"/>
                <w:szCs w:val="18"/>
              </w:rPr>
              <w:t xml:space="preserve">Catalysts</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168</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236</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119</w:t>
            </w:r>
          </w:p>
        </w:tc>
        <w:tc>
          <w:tcPr>
            <w:tcW w:type="dxa" w:w="1550"/>
            <w:tcMar>
              <w:top w:type="dxa" w:w="45"/>
              <w:left w:type="dxa" w:w="85"/>
              <w:bottom w:type="dxa" w:w="45"/>
              <w:right w:type="dxa" w:w="85"/>
            </w:tcMar>
          </w:tcPr>
          <w:p>
            <w:pPr>
              <w:spacing w:after="0" w:line="230"/>
              <w:jc w:val="right"/>
            </w:pPr>
            <w:r>
              <w:rPr>
                <w:rFonts w:ascii="Calibri" w:cs="Calibri" w:eastAsia="Calibri" w:hAnsi="Calibri"/>
                <w:sz w:val="18"/>
                <w:szCs w:val="18"/>
              </w:rPr>
              <w:t xml:space="preserve">83</w:t>
            </w:r>
          </w:p>
        </w:tc>
      </w:tr>
    </w:tbl>
    <w:p>
      <w:pPr>
        <w:pBdr>
          <w:top w:val="single" w:color="1E6B43" w:sz="10" w:space="8"/>
          <w:bottom w:val="single" w:color="1E6B43" w:sz="10" w:space="8"/>
        </w:pBdr>
        <w:shd w:fill="E8F1EC" w:color="auto" w:val="clear"/>
        <w:spacing w:after="170" w:before="60" w:line="280"/>
      </w:pPr>
      <w:r>
        <w:rPr>
          <w:rFonts w:ascii="Calibri" w:cs="Calibri" w:eastAsia="Calibri" w:hAnsi="Calibri"/>
          <w:b/>
          <w:bCs/>
          <w:color w:val="1E6B43"/>
          <w:sz w:val="20"/>
          <w:szCs w:val="20"/>
        </w:rPr>
        <w:t xml:space="preserve">A material finding for the capstone. </w:t>
      </w:r>
      <w:r>
        <w:rPr>
          <w:rFonts w:ascii="Calibri" w:cs="Calibri" w:eastAsia="Calibri" w:hAnsi="Calibri"/>
          <w:color w:val="1E6B43"/>
          <w:sz w:val="20"/>
          <w:szCs w:val="20"/>
        </w:rPr>
        <w:t xml:space="preserve">Ferrous recovery has fallen 47% since its 2018 peak (63,443 to 33,892 t), and every category declines in parallel. Belgium's rates improved over this period while absolute volumes nearly halved. Rate-based analysis alone would miss this entirely.</w:t>
      </w:r>
    </w:p>
    <w:p>
      <w:pPr>
        <w:pStyle w:val="Heading1"/>
        <w:pBdr>
          <w:bottom w:val="single" w:color="1F4E5F" w:sz="6" w:space="4"/>
        </w:pBdr>
        <w:spacing w:after="140" w:before="300"/>
      </w:pPr>
      <w:r>
        <w:rPr>
          <w:rFonts w:ascii="Calibri" w:cs="Calibri" w:eastAsia="Calibri" w:hAnsi="Calibri"/>
          <w:b/>
          <w:bCs/>
          <w:color w:val="1F4E5F"/>
          <w:sz w:val="25"/>
          <w:szCs w:val="25"/>
        </w:rPr>
        <w:t xml:space="preserve">D. Estimated Material Value</w:t>
      </w:r>
    </w:p>
    <w:p>
      <w:pPr>
        <w:pBdr>
          <w:top w:val="single" w:color="8A4B00" w:sz="10" w:space="8"/>
          <w:bottom w:val="single" w:color="8A4B00" w:sz="10" w:space="8"/>
        </w:pBdr>
        <w:shd w:fill="FBF3E4" w:color="auto" w:val="clear"/>
        <w:spacing w:after="170" w:before="60" w:line="280"/>
      </w:pPr>
      <w:r>
        <w:rPr>
          <w:rFonts w:ascii="Calibri" w:cs="Calibri" w:eastAsia="Calibri" w:hAnsi="Calibri"/>
          <w:b/>
          <w:bCs/>
          <w:color w:val="8A4B00"/>
          <w:sz w:val="20"/>
          <w:szCs w:val="20"/>
        </w:rPr>
        <w:t xml:space="preserve">Belgium publishes no monetary figure for recovered ELV materials. </w:t>
      </w:r>
      <w:r>
        <w:rPr>
          <w:rFonts w:ascii="Calibri" w:cs="Calibri" w:eastAsia="Calibri" w:hAnsi="Calibri"/>
          <w:color w:val="8A4B00"/>
          <w:sz w:val="20"/>
          <w:szCs w:val="20"/>
        </w:rPr>
        <w:t xml:space="preserve">None was found in any official source. The following is calculated, not reported, and must not be cited as a Belgian statistic. Method: recycled tonnes (official) x market price band (secondary) = value range.</w:t>
      </w:r>
    </w:p>
    <w:tbl>
      <w:tblPr>
        <w:tblW w:type="dxa" w:w="9360"/>
        <w:tblBorders>
          <w:top w:val="single" w:color="BFBFBF" w:sz="4"/>
          <w:left w:val="none"/>
          <w:bottom w:val="single" w:color="BFBFBF" w:sz="4"/>
          <w:right w:val="none"/>
          <w:insideH w:val="single" w:color="DEDEDE" w:sz="2"/>
          <w:insideV w:val="none"/>
        </w:tblBorders>
      </w:tblPr>
      <w:tblGrid>
        <w:gridCol w:w="2160"/>
        <w:gridCol w:w="1000"/>
        <w:gridCol w:w="1050"/>
        <w:gridCol w:w="1100"/>
        <w:gridCol w:w="1500"/>
        <w:gridCol w:w="1500"/>
        <w:gridCol w:w="1050"/>
      </w:tblGrid>
      <w:tr>
        <w:trPr>
          <w:tblHeader/>
        </w:trPr>
        <w:tc>
          <w:tcPr>
            <w:tcW w:type="dxa" w:w="2160"/>
            <w:shd w:fill="E8EEF1" w:color="auto" w:val="clear"/>
            <w:tcMar>
              <w:top w:type="dxa" w:w="45"/>
              <w:left w:type="dxa" w:w="85"/>
              <w:bottom w:type="dxa" w:w="45"/>
              <w:right w:type="dxa" w:w="85"/>
            </w:tcMar>
          </w:tcPr>
          <w:p>
            <w:pPr>
              <w:spacing w:after="0" w:line="230"/>
            </w:pPr>
            <w:r>
              <w:rPr>
                <w:rFonts w:ascii="Calibri" w:cs="Calibri" w:eastAsia="Calibri" w:hAnsi="Calibri"/>
                <w:b/>
                <w:bCs/>
                <w:sz w:val="16"/>
                <w:szCs w:val="16"/>
              </w:rPr>
              <w:t xml:space="preserve">Material</w:t>
            </w:r>
          </w:p>
        </w:tc>
        <w:tc>
          <w:tcPr>
            <w:tcW w:type="dxa" w:w="100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6"/>
                <w:szCs w:val="16"/>
              </w:rPr>
              <w:t xml:space="preserve">Tonnes</w:t>
            </w:r>
          </w:p>
        </w:tc>
        <w:tc>
          <w:tcPr>
            <w:tcW w:type="dxa" w:w="105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6"/>
                <w:szCs w:val="16"/>
              </w:rPr>
              <w:t xml:space="preserve">EUR/t low</w:t>
            </w:r>
          </w:p>
        </w:tc>
        <w:tc>
          <w:tcPr>
            <w:tcW w:type="dxa" w:w="110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6"/>
                <w:szCs w:val="16"/>
              </w:rPr>
              <w:t xml:space="preserve">EUR/t high</w:t>
            </w:r>
          </w:p>
        </w:tc>
        <w:tc>
          <w:tcPr>
            <w:tcW w:type="dxa" w:w="150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6"/>
                <w:szCs w:val="16"/>
              </w:rPr>
              <w:t xml:space="preserve">EUR low</w:t>
            </w:r>
          </w:p>
        </w:tc>
        <w:tc>
          <w:tcPr>
            <w:tcW w:type="dxa" w:w="150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6"/>
                <w:szCs w:val="16"/>
              </w:rPr>
              <w:t xml:space="preserve">EUR high</w:t>
            </w:r>
          </w:p>
        </w:tc>
        <w:tc>
          <w:tcPr>
            <w:tcW w:type="dxa" w:w="105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6"/>
                <w:szCs w:val="16"/>
              </w:rPr>
              <w:t xml:space="preserve">Price confidence</w:t>
            </w:r>
          </w:p>
        </w:tc>
      </w:tr>
      <w:tr>
        <w:tc>
          <w:tcPr>
            <w:tcW w:type="dxa" w:w="2160"/>
            <w:tcMar>
              <w:top w:type="dxa" w:w="45"/>
              <w:left w:type="dxa" w:w="85"/>
              <w:bottom w:type="dxa" w:w="45"/>
              <w:right w:type="dxa" w:w="85"/>
            </w:tcMar>
          </w:tcPr>
          <w:p>
            <w:pPr>
              <w:spacing w:after="0" w:line="230"/>
            </w:pPr>
            <w:r>
              <w:rPr>
                <w:rFonts w:ascii="Calibri" w:cs="Calibri" w:eastAsia="Calibri" w:hAnsi="Calibri"/>
                <w:b w:val="false"/>
                <w:bCs w:val="false"/>
                <w:sz w:val="16"/>
                <w:szCs w:val="16"/>
              </w:rPr>
              <w:t xml:space="preserve">Ferrous from shredding</w:t>
            </w:r>
          </w:p>
        </w:tc>
        <w:tc>
          <w:tcPr>
            <w:tcW w:type="dxa" w:w="10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33,892</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400</w:t>
            </w:r>
          </w:p>
        </w:tc>
        <w:tc>
          <w:tcPr>
            <w:tcW w:type="dxa" w:w="11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460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13,556,800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15,590,320</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Medium-high</w:t>
            </w:r>
          </w:p>
        </w:tc>
      </w:tr>
      <w:tr>
        <w:tc>
          <w:tcPr>
            <w:tcW w:type="dxa" w:w="2160"/>
            <w:tcMar>
              <w:top w:type="dxa" w:w="45"/>
              <w:left w:type="dxa" w:w="85"/>
              <w:bottom w:type="dxa" w:w="45"/>
              <w:right w:type="dxa" w:w="85"/>
            </w:tcMar>
          </w:tcPr>
          <w:p>
            <w:pPr>
              <w:spacing w:after="0" w:line="230"/>
            </w:pPr>
            <w:r>
              <w:rPr>
                <w:rFonts w:ascii="Calibri" w:cs="Calibri" w:eastAsia="Calibri" w:hAnsi="Calibri"/>
                <w:b w:val="false"/>
                <w:bCs w:val="false"/>
                <w:sz w:val="16"/>
                <w:szCs w:val="16"/>
              </w:rPr>
              <w:t xml:space="preserve">Metal components</w:t>
            </w:r>
          </w:p>
        </w:tc>
        <w:tc>
          <w:tcPr>
            <w:tcW w:type="dxa" w:w="10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4,960</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400</w:t>
            </w:r>
          </w:p>
        </w:tc>
        <w:tc>
          <w:tcPr>
            <w:tcW w:type="dxa" w:w="11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500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1,984,000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2,480,000</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Medium</w:t>
            </w:r>
          </w:p>
        </w:tc>
      </w:tr>
      <w:tr>
        <w:tc>
          <w:tcPr>
            <w:tcW w:type="dxa" w:w="2160"/>
            <w:tcMar>
              <w:top w:type="dxa" w:w="45"/>
              <w:left w:type="dxa" w:w="85"/>
              <w:bottom w:type="dxa" w:w="45"/>
              <w:right w:type="dxa" w:w="85"/>
            </w:tcMar>
          </w:tcPr>
          <w:p>
            <w:pPr>
              <w:spacing w:after="0" w:line="230"/>
            </w:pPr>
            <w:r>
              <w:rPr>
                <w:rFonts w:ascii="Calibri" w:cs="Calibri" w:eastAsia="Calibri" w:hAnsi="Calibri"/>
                <w:b w:val="false"/>
                <w:bCs w:val="false"/>
                <w:sz w:val="16"/>
                <w:szCs w:val="16"/>
              </w:rPr>
              <w:t xml:space="preserve">Non-ferrous (Zorba)</w:t>
            </w:r>
          </w:p>
        </w:tc>
        <w:tc>
          <w:tcPr>
            <w:tcW w:type="dxa" w:w="10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4,797</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800</w:t>
            </w:r>
          </w:p>
        </w:tc>
        <w:tc>
          <w:tcPr>
            <w:tcW w:type="dxa" w:w="11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1,500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3,837,600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7,195,500</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Low</w:t>
            </w:r>
          </w:p>
        </w:tc>
      </w:tr>
      <w:tr>
        <w:tc>
          <w:tcPr>
            <w:tcW w:type="dxa" w:w="2160"/>
            <w:tcMar>
              <w:top w:type="dxa" w:w="45"/>
              <w:left w:type="dxa" w:w="85"/>
              <w:bottom w:type="dxa" w:w="45"/>
              <w:right w:type="dxa" w:w="85"/>
            </w:tcMar>
          </w:tcPr>
          <w:p>
            <w:pPr>
              <w:spacing w:after="0" w:line="230"/>
            </w:pPr>
            <w:r>
              <w:rPr>
                <w:rFonts w:ascii="Calibri" w:cs="Calibri" w:eastAsia="Calibri" w:hAnsi="Calibri"/>
                <w:b w:val="false"/>
                <w:bCs w:val="false"/>
                <w:sz w:val="16"/>
                <w:szCs w:val="16"/>
              </w:rPr>
              <w:t xml:space="preserve">Batteries (lead-acid)</w:t>
            </w:r>
          </w:p>
        </w:tc>
        <w:tc>
          <w:tcPr>
            <w:tcW w:type="dxa" w:w="10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516</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600</w:t>
            </w:r>
          </w:p>
        </w:tc>
        <w:tc>
          <w:tcPr>
            <w:tcW w:type="dxa" w:w="11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800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309,600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412,800</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Low-medium</w:t>
            </w:r>
          </w:p>
        </w:tc>
      </w:tr>
      <w:tr>
        <w:tc>
          <w:tcPr>
            <w:tcW w:type="dxa" w:w="2160"/>
            <w:tcMar>
              <w:top w:type="dxa" w:w="45"/>
              <w:left w:type="dxa" w:w="85"/>
              <w:bottom w:type="dxa" w:w="45"/>
              <w:right w:type="dxa" w:w="85"/>
            </w:tcMar>
          </w:tcPr>
          <w:p>
            <w:pPr>
              <w:spacing w:after="0" w:line="230"/>
            </w:pPr>
            <w:r>
              <w:rPr>
                <w:rFonts w:ascii="Calibri" w:cs="Calibri" w:eastAsia="Calibri" w:hAnsi="Calibri"/>
                <w:b w:val="false"/>
                <w:bCs w:val="false"/>
                <w:sz w:val="16"/>
                <w:szCs w:val="16"/>
              </w:rPr>
              <w:t xml:space="preserve">Tires</w:t>
            </w:r>
          </w:p>
        </w:tc>
        <w:tc>
          <w:tcPr>
            <w:tcW w:type="dxa" w:w="10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1,557</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0</w:t>
            </w:r>
          </w:p>
        </w:tc>
        <w:tc>
          <w:tcPr>
            <w:tcW w:type="dxa" w:w="11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50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77,850</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Low</w:t>
            </w:r>
          </w:p>
        </w:tc>
      </w:tr>
      <w:tr>
        <w:tc>
          <w:tcPr>
            <w:tcW w:type="dxa" w:w="2160"/>
            <w:tcMar>
              <w:top w:type="dxa" w:w="45"/>
              <w:left w:type="dxa" w:w="85"/>
              <w:bottom w:type="dxa" w:w="45"/>
              <w:right w:type="dxa" w:w="85"/>
            </w:tcMar>
          </w:tcPr>
          <w:p>
            <w:pPr>
              <w:spacing w:after="0" w:line="230"/>
            </w:pPr>
            <w:r>
              <w:rPr>
                <w:rFonts w:ascii="Calibri" w:cs="Calibri" w:eastAsia="Calibri" w:hAnsi="Calibri"/>
                <w:b w:val="false"/>
                <w:bCs w:val="false"/>
                <w:sz w:val="16"/>
                <w:szCs w:val="16"/>
              </w:rPr>
              <w:t xml:space="preserve">Plastics</w:t>
            </w:r>
          </w:p>
        </w:tc>
        <w:tc>
          <w:tcPr>
            <w:tcW w:type="dxa" w:w="10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121</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0</w:t>
            </w:r>
          </w:p>
        </w:tc>
        <w:tc>
          <w:tcPr>
            <w:tcW w:type="dxa" w:w="11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200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24,200</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Low</w:t>
            </w:r>
          </w:p>
        </w:tc>
      </w:tr>
      <w:tr>
        <w:tc>
          <w:tcPr>
            <w:tcW w:type="dxa" w:w="2160"/>
            <w:tcMar>
              <w:top w:type="dxa" w:w="45"/>
              <w:left w:type="dxa" w:w="85"/>
              <w:bottom w:type="dxa" w:w="45"/>
              <w:right w:type="dxa" w:w="85"/>
            </w:tcMar>
          </w:tcPr>
          <w:p>
            <w:pPr>
              <w:spacing w:after="0" w:line="230"/>
            </w:pPr>
            <w:r>
              <w:rPr>
                <w:rFonts w:ascii="Calibri" w:cs="Calibri" w:eastAsia="Calibri" w:hAnsi="Calibri"/>
                <w:b w:val="false"/>
                <w:bCs w:val="false"/>
                <w:sz w:val="16"/>
                <w:szCs w:val="16"/>
              </w:rPr>
              <w:t xml:space="preserve">SLF, residues, liquids, glass, filters</w:t>
            </w:r>
          </w:p>
        </w:tc>
        <w:tc>
          <w:tcPr>
            <w:tcW w:type="dxa" w:w="10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6,899</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0</w:t>
            </w:r>
          </w:p>
        </w:tc>
        <w:tc>
          <w:tcPr>
            <w:tcW w:type="dxa" w:w="11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0</w:t>
            </w:r>
          </w:p>
        </w:tc>
        <w:tc>
          <w:tcPr>
            <w:tcW w:type="dxa" w:w="150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0</w:t>
            </w:r>
          </w:p>
        </w:tc>
        <w:tc>
          <w:tcPr>
            <w:tcW w:type="dxa" w:w="1050"/>
            <w:tcMar>
              <w:top w:type="dxa" w:w="45"/>
              <w:left w:type="dxa" w:w="85"/>
              <w:bottom w:type="dxa" w:w="45"/>
              <w:right w:type="dxa" w:w="85"/>
            </w:tcMar>
          </w:tcPr>
          <w:p>
            <w:pPr>
              <w:spacing w:after="0" w:line="230"/>
              <w:jc w:val="right"/>
            </w:pPr>
            <w:r>
              <w:rPr>
                <w:rFonts w:ascii="Calibri" w:cs="Calibri" w:eastAsia="Calibri" w:hAnsi="Calibri"/>
                <w:b w:val="false"/>
                <w:bCs w:val="false"/>
                <w:sz w:val="16"/>
                <w:szCs w:val="16"/>
              </w:rPr>
              <w:t xml:space="preserve">Assumed nil/negative</w:t>
            </w:r>
          </w:p>
        </w:tc>
      </w:tr>
      <w:tr>
        <w:tc>
          <w:tcPr>
            <w:tcW w:type="dxa" w:w="2160"/>
            <w:tcMar>
              <w:top w:type="dxa" w:w="45"/>
              <w:left w:type="dxa" w:w="85"/>
              <w:bottom w:type="dxa" w:w="45"/>
              <w:right w:type="dxa" w:w="85"/>
            </w:tcMar>
          </w:tcPr>
          <w:p>
            <w:pPr>
              <w:spacing w:after="0" w:line="230"/>
            </w:pPr>
            <w:r>
              <w:rPr>
                <w:rFonts w:ascii="Calibri" w:cs="Calibri" w:eastAsia="Calibri" w:hAnsi="Calibri"/>
                <w:b/>
                <w:bCs/>
                <w:color w:val="1F4E5F"/>
                <w:sz w:val="16"/>
                <w:szCs w:val="16"/>
              </w:rPr>
              <w:t xml:space="preserve">TOTAL</w:t>
            </w:r>
          </w:p>
        </w:tc>
        <w:tc>
          <w:tcPr>
            <w:tcW w:type="dxa" w:w="1000"/>
            <w:tcMar>
              <w:top w:type="dxa" w:w="45"/>
              <w:left w:type="dxa" w:w="85"/>
              <w:bottom w:type="dxa" w:w="45"/>
              <w:right w:type="dxa" w:w="85"/>
            </w:tcMar>
          </w:tcPr>
          <w:p>
            <w:pPr>
              <w:spacing w:after="0" w:line="230"/>
              <w:jc w:val="right"/>
            </w:pPr>
            <w:r>
              <w:rPr>
                <w:rFonts w:ascii="Calibri" w:cs="Calibri" w:eastAsia="Calibri" w:hAnsi="Calibri"/>
                <w:b/>
                <w:bCs/>
                <w:color w:val="1F4E5F"/>
                <w:sz w:val="16"/>
                <w:szCs w:val="16"/>
              </w:rPr>
              <w:t xml:space="preserve">51,758</w:t>
            </w:r>
          </w:p>
        </w:tc>
        <w:tc>
          <w:tcPr>
            <w:tcW w:type="dxa" w:w="1050"/>
            <w:tcMar>
              <w:top w:type="dxa" w:w="45"/>
              <w:left w:type="dxa" w:w="85"/>
              <w:bottom w:type="dxa" w:w="45"/>
              <w:right w:type="dxa" w:w="85"/>
            </w:tcMar>
          </w:tcPr>
          <w:p>
            <w:pPr>
              <w:spacing w:after="0" w:line="230"/>
              <w:jc w:val="right"/>
            </w:pPr>
            <w:r>
              <w:rPr>
                <w:rFonts w:ascii="Calibri" w:cs="Calibri" w:eastAsia="Calibri" w:hAnsi="Calibri"/>
                <w:b/>
                <w:bCs/>
                <w:color w:val="1F4E5F"/>
                <w:sz w:val="16"/>
                <w:szCs w:val="16"/>
              </w:rPr>
              <w:t xml:space="preserve"/>
            </w:r>
          </w:p>
        </w:tc>
        <w:tc>
          <w:tcPr>
            <w:tcW w:type="dxa" w:w="1100"/>
            <w:tcMar>
              <w:top w:type="dxa" w:w="45"/>
              <w:left w:type="dxa" w:w="85"/>
              <w:bottom w:type="dxa" w:w="45"/>
              <w:right w:type="dxa" w:w="85"/>
            </w:tcMar>
          </w:tcPr>
          <w:p>
            <w:pPr>
              <w:spacing w:after="0" w:line="230"/>
              <w:jc w:val="right"/>
            </w:pPr>
            <w:r>
              <w:rPr>
                <w:rFonts w:ascii="Calibri" w:cs="Calibri" w:eastAsia="Calibri" w:hAnsi="Calibri"/>
                <w:b/>
                <w:bCs/>
                <w:color w:val="1F4E5F"/>
                <w:sz w:val="16"/>
                <w:szCs w:val="16"/>
              </w:rPr>
              <w:t xml:space="preserve"/>
            </w:r>
          </w:p>
        </w:tc>
        <w:tc>
          <w:tcPr>
            <w:tcW w:type="dxa" w:w="1500"/>
            <w:tcMar>
              <w:top w:type="dxa" w:w="45"/>
              <w:left w:type="dxa" w:w="85"/>
              <w:bottom w:type="dxa" w:w="45"/>
              <w:right w:type="dxa" w:w="85"/>
            </w:tcMar>
          </w:tcPr>
          <w:p>
            <w:pPr>
              <w:spacing w:after="0" w:line="230"/>
              <w:jc w:val="right"/>
            </w:pPr>
            <w:r>
              <w:rPr>
                <w:rFonts w:ascii="Calibri" w:cs="Calibri" w:eastAsia="Calibri" w:hAnsi="Calibri"/>
                <w:b/>
                <w:bCs/>
                <w:color w:val="1F4E5F"/>
                <w:sz w:val="16"/>
                <w:szCs w:val="16"/>
              </w:rPr>
              <w:t xml:space="preserve">19,688,000</w:t>
            </w:r>
          </w:p>
        </w:tc>
        <w:tc>
          <w:tcPr>
            <w:tcW w:type="dxa" w:w="1500"/>
            <w:tcMar>
              <w:top w:type="dxa" w:w="45"/>
              <w:left w:type="dxa" w:w="85"/>
              <w:bottom w:type="dxa" w:w="45"/>
              <w:right w:type="dxa" w:w="85"/>
            </w:tcMar>
          </w:tcPr>
          <w:p>
            <w:pPr>
              <w:spacing w:after="0" w:line="230"/>
              <w:jc w:val="right"/>
            </w:pPr>
            <w:r>
              <w:rPr>
                <w:rFonts w:ascii="Calibri" w:cs="Calibri" w:eastAsia="Calibri" w:hAnsi="Calibri"/>
                <w:b/>
                <w:bCs/>
                <w:color w:val="1F4E5F"/>
                <w:sz w:val="16"/>
                <w:szCs w:val="16"/>
              </w:rPr>
              <w:t xml:space="preserve">25,780,670</w:t>
            </w:r>
          </w:p>
        </w:tc>
        <w:tc>
          <w:tcPr>
            <w:tcW w:type="dxa" w:w="1050"/>
            <w:tcMar>
              <w:top w:type="dxa" w:w="45"/>
              <w:left w:type="dxa" w:w="85"/>
              <w:bottom w:type="dxa" w:w="45"/>
              <w:right w:type="dxa" w:w="85"/>
            </w:tcMar>
          </w:tcPr>
          <w:p>
            <w:pPr>
              <w:spacing w:after="0" w:line="230"/>
              <w:jc w:val="right"/>
            </w:pPr>
            <w:r>
              <w:rPr>
                <w:rFonts w:ascii="Calibri" w:cs="Calibri" w:eastAsia="Calibri" w:hAnsi="Calibri"/>
                <w:b/>
                <w:bCs/>
                <w:color w:val="1F4E5F"/>
                <w:sz w:val="16"/>
                <w:szCs w:val="16"/>
              </w:rPr>
              <w:t xml:space="preserve"/>
            </w:r>
          </w:p>
        </w:tc>
      </w:tr>
    </w:tbl>
    <w:p>
      <w:pPr>
        <w:spacing w:after="60" w:line="280"/>
      </w:pPr>
      <w:r>
        <w:rPr>
          <w:rFonts w:ascii="Calibri" w:cs="Calibri" w:eastAsia="Calibri" w:hAnsi="Calibri"/>
          <w:b/>
          <w:bCs/>
          <w:color w:val="1F4E5F"/>
          <w:sz w:val="24"/>
          <w:szCs w:val="24"/>
        </w:rPr>
        <w:t xml:space="preserve">Estimated annual value: EUR 19.7M - 25.8M   (USD 22.6M - 29.6M)</w:t>
      </w:r>
    </w:p>
    <w:p>
      <w:pPr>
        <w:spacing w:after="100" w:line="280"/>
      </w:pPr>
      <w:r>
        <w:rPr>
          <w:rFonts w:ascii="Calibri" w:cs="Calibri" w:eastAsia="Calibri" w:hAnsi="Calibri"/>
          <w:sz w:val="20"/>
          <w:szCs w:val="20"/>
        </w:rPr>
        <w:t xml:space="preserve">Midpoint EUR 22.7M / USD 26.1M, at EUR/USD 1.15 (August 2026).</w:t>
      </w:r>
    </w:p>
    <w:p>
      <w:pPr>
        <w:spacing w:after="130" w:line="280"/>
      </w:pPr>
      <w:r>
        <w:rPr>
          <w:rFonts w:ascii="Calibri" w:cs="Calibri" w:eastAsia="Calibri" w:hAnsi="Calibri"/>
          <w:sz w:val="20"/>
          <w:szCs w:val="20"/>
        </w:rPr>
        <w:t xml:space="preserve">Sanity checks: EUR 310-405 per vehicle; EUR 380-497 per tonne recycled. Both plausible for scrapped passenger cars.</w:t>
      </w:r>
    </w:p>
    <w:p>
      <w:pPr>
        <w:pStyle w:val="Heading2"/>
        <w:spacing w:after="80" w:before="200"/>
      </w:pPr>
      <w:r>
        <w:rPr>
          <w:rFonts w:ascii="Calibri" w:cs="Calibri" w:eastAsia="Calibri" w:hAnsi="Calibri"/>
          <w:b/>
          <w:bCs/>
          <w:sz w:val="22"/>
          <w:szCs w:val="22"/>
        </w:rPr>
        <w:t xml:space="preserve">Confidence structure - read this before citing</w:t>
      </w:r>
    </w:p>
    <w:p>
      <w:pPr>
        <w:pStyle w:val="ListParagraph"/>
        <w:numPr>
          <w:ilvl w:val="0"/>
          <w:numId w:val="2"/>
        </w:numPr>
        <w:spacing w:after="80" w:line="280"/>
      </w:pPr>
      <w:r>
        <w:rPr>
          <w:rFonts w:ascii="Calibri" w:cs="Calibri" w:eastAsia="Calibri" w:hAnsi="Calibri"/>
          <w:b/>
          <w:bCs/>
          <w:sz w:val="21"/>
          <w:szCs w:val="21"/>
        </w:rPr>
        <w:t xml:space="preserve">Ferrous alone contributes 60-69% of the total </w:t>
      </w:r>
      <w:r>
        <w:rPr>
          <w:rFonts w:ascii="Calibri" w:cs="Calibri" w:eastAsia="Calibri" w:hAnsi="Calibri"/>
          <w:sz w:val="21"/>
          <w:szCs w:val="21"/>
        </w:rPr>
        <w:t xml:space="preserve">and rests on the best-sourced prices: E40 shredded France/Belgium approximately EUR 460/t, HMS 1&amp;2 Belgium dock EUR 405-410/t.</w:t>
      </w:r>
    </w:p>
    <w:p>
      <w:pPr>
        <w:pStyle w:val="ListParagraph"/>
        <w:numPr>
          <w:ilvl w:val="0"/>
          <w:numId w:val="2"/>
        </w:numPr>
        <w:spacing w:after="80" w:line="280"/>
      </w:pPr>
      <w:r>
        <w:rPr>
          <w:rFonts w:ascii="Calibri" w:cs="Calibri" w:eastAsia="Calibri" w:hAnsi="Calibri"/>
          <w:b/>
          <w:bCs/>
          <w:sz w:val="21"/>
          <w:szCs w:val="21"/>
        </w:rPr>
        <w:t xml:space="preserve">Non-ferrous is the largest uncertainty. </w:t>
      </w:r>
      <w:r>
        <w:rPr>
          <w:rFonts w:ascii="Calibri" w:cs="Calibri" w:eastAsia="Calibri" w:hAnsi="Calibri"/>
          <w:sz w:val="21"/>
          <w:szCs w:val="21"/>
        </w:rPr>
        <w:t xml:space="preserve">The EUR 800-1,500/t band is inference from LME levels, not a sourced Zorba quotation. It alone spans EUR 3.4M of the range.</w:t>
      </w:r>
    </w:p>
    <w:p>
      <w:pPr>
        <w:pStyle w:val="ListParagraph"/>
        <w:numPr>
          <w:ilvl w:val="0"/>
          <w:numId w:val="2"/>
        </w:numPr>
        <w:spacing w:after="120" w:line="280"/>
      </w:pPr>
      <w:r>
        <w:rPr>
          <w:rFonts w:ascii="Calibri" w:cs="Calibri" w:eastAsia="Calibri" w:hAnsi="Calibri"/>
          <w:b/>
          <w:bCs/>
          <w:sz w:val="21"/>
          <w:szCs w:val="21"/>
        </w:rPr>
        <w:t xml:space="preserve">Catalytic converters (83 t) are excluded entirely. </w:t>
      </w:r>
      <w:r>
        <w:rPr>
          <w:rFonts w:ascii="Calibri" w:cs="Calibri" w:eastAsia="Calibri" w:hAnsi="Calibri"/>
          <w:sz w:val="21"/>
          <w:szCs w:val="21"/>
        </w:rPr>
        <w:t xml:space="preserve">PGM content per tonne varies by orders of magnitude and no defensible EUR/t was obtained. This is a known downward bias - catalysts could add materially.</w:t>
      </w:r>
    </w:p>
    <w:p>
      <w:pPr>
        <w:pStyle w:val="Heading2"/>
        <w:spacing w:after="80" w:before="200"/>
      </w:pPr>
      <w:r>
        <w:rPr>
          <w:rFonts w:ascii="Calibri" w:cs="Calibri" w:eastAsia="Calibri" w:hAnsi="Calibri"/>
          <w:b/>
          <w:bCs/>
          <w:sz w:val="22"/>
          <w:szCs w:val="22"/>
        </w:rPr>
        <w:t xml:space="preserve">Price sources</w:t>
      </w:r>
    </w:p>
    <w:p>
      <w:pPr>
        <w:spacing w:after="40" w:line="280"/>
      </w:pPr>
      <w:r>
        <w:rPr>
          <w:rFonts w:ascii="Calibri" w:cs="Calibri" w:eastAsia="Calibri" w:hAnsi="Calibri"/>
          <w:sz w:val="18"/>
          <w:szCs w:val="18"/>
        </w:rPr>
        <w:t xml:space="preserve">BSSA - French and Belgian scrap prices - </w:t>
      </w:r>
      <w:r>
        <w:rPr>
          <w:rFonts w:ascii="Calibri" w:cs="Calibri" w:eastAsia="Calibri" w:hAnsi="Calibri"/>
          <w:color w:val="595959"/>
          <w:sz w:val="18"/>
          <w:szCs w:val="18"/>
        </w:rPr>
        <w:t xml:space="preserve">bssa.org.uk/french-belgian-scrap-prices-tumble/</w:t>
      </w:r>
    </w:p>
    <w:p>
      <w:pPr>
        <w:spacing w:after="40" w:line="280"/>
      </w:pPr>
      <w:r>
        <w:rPr>
          <w:rFonts w:ascii="Calibri" w:cs="Calibri" w:eastAsia="Calibri" w:hAnsi="Calibri"/>
          <w:sz w:val="18"/>
          <w:szCs w:val="18"/>
        </w:rPr>
        <w:t xml:space="preserve">Kallanish - Benelux scrap market reports - </w:t>
      </w:r>
      <w:r>
        <w:rPr>
          <w:rFonts w:ascii="Calibri" w:cs="Calibri" w:eastAsia="Calibri" w:hAnsi="Calibri"/>
          <w:color w:val="595959"/>
          <w:sz w:val="18"/>
          <w:szCs w:val="18"/>
        </w:rPr>
        <w:t xml:space="preserve">www.kallanish.com/en/news/steel/market-reports/</w:t>
      </w:r>
    </w:p>
    <w:p>
      <w:pPr>
        <w:spacing w:after="40" w:line="280"/>
      </w:pPr>
      <w:r>
        <w:rPr>
          <w:rFonts w:ascii="Calibri" w:cs="Calibri" w:eastAsia="Calibri" w:hAnsi="Calibri"/>
          <w:sz w:val="18"/>
          <w:szCs w:val="18"/>
        </w:rPr>
        <w:t xml:space="preserve">Fastmarkets - Steel scrap E40 shredded index, EUR/tonne - </w:t>
      </w:r>
      <w:r>
        <w:rPr>
          <w:rFonts w:ascii="Calibri" w:cs="Calibri" w:eastAsia="Calibri" w:hAnsi="Calibri"/>
          <w:color w:val="595959"/>
          <w:sz w:val="18"/>
          <w:szCs w:val="18"/>
        </w:rPr>
        <w:t xml:space="preserve">www.fastmarkets.com/commodity-prices/</w:t>
      </w:r>
    </w:p>
    <w:p>
      <w:pPr>
        <w:spacing w:after="40" w:line="280"/>
      </w:pPr>
      <w:r>
        <w:rPr>
          <w:rFonts w:ascii="Calibri" w:cs="Calibri" w:eastAsia="Calibri" w:hAnsi="Calibri"/>
          <w:sz w:val="18"/>
          <w:szCs w:val="18"/>
        </w:rPr>
        <w:t xml:space="preserve">ScrapMonster - lead battery scrap, Europe - </w:t>
      </w:r>
      <w:r>
        <w:rPr>
          <w:rFonts w:ascii="Calibri" w:cs="Calibri" w:eastAsia="Calibri" w:hAnsi="Calibri"/>
          <w:color w:val="595959"/>
          <w:sz w:val="18"/>
          <w:szCs w:val="18"/>
        </w:rPr>
        <w:t xml:space="preserve">www.scrapmonster.com/scrap-metal-prices/lead-batteries/europe/283/4</w:t>
      </w:r>
    </w:p>
    <w:p>
      <w:pPr>
        <w:pStyle w:val="Heading1"/>
        <w:pBdr>
          <w:bottom w:val="single" w:color="1F4E5F" w:sz="6" w:space="4"/>
        </w:pBdr>
        <w:spacing w:after="140" w:before="300"/>
      </w:pPr>
      <w:r>
        <w:rPr>
          <w:rFonts w:ascii="Calibri" w:cs="Calibri" w:eastAsia="Calibri" w:hAnsi="Calibri"/>
          <w:b/>
          <w:bCs/>
          <w:color w:val="1F4E5F"/>
          <w:sz w:val="25"/>
          <w:szCs w:val="25"/>
        </w:rPr>
        <w:t xml:space="preserve">E. Domestic vs. Exported Value</w:t>
      </w:r>
    </w:p>
    <w:p>
      <w:pPr>
        <w:spacing w:after="110" w:line="280"/>
      </w:pPr>
      <w:r>
        <w:rPr>
          <w:rFonts w:ascii="Calibri" w:cs="Calibri" w:eastAsia="Calibri" w:hAnsi="Calibri"/>
          <w:sz w:val="21"/>
          <w:szCs w:val="21"/>
        </w:rPr>
        <w:t xml:space="preserve">The Eurostat structure permits a clean split, and the arithmetic closes exactly:</w:t>
      </w:r>
    </w:p>
    <w:tbl>
      <w:tblPr>
        <w:tblW w:type="dxa" w:w="9360"/>
        <w:tblBorders>
          <w:top w:val="single" w:color="BFBFBF" w:sz="4"/>
          <w:left w:val="none"/>
          <w:bottom w:val="single" w:color="BFBFBF" w:sz="4"/>
          <w:right w:val="none"/>
          <w:insideH w:val="single" w:color="DEDEDE" w:sz="2"/>
          <w:insideV w:val="none"/>
        </w:tblBorders>
      </w:tblPr>
      <w:tblGrid>
        <w:gridCol w:w="3400"/>
        <w:gridCol w:w="2200"/>
        <w:gridCol w:w="3760"/>
      </w:tblGrid>
      <w:tr>
        <w:trPr>
          <w:tblHeader/>
        </w:trPr>
        <w:tc>
          <w:tcPr>
            <w:tcW w:type="dxa" w:w="3400"/>
            <w:shd w:fill="E8EEF1" w:color="auto" w:val="clear"/>
            <w:tcMar>
              <w:top w:type="dxa" w:w="45"/>
              <w:left w:type="dxa" w:w="85"/>
              <w:bottom w:type="dxa" w:w="45"/>
              <w:right w:type="dxa" w:w="85"/>
            </w:tcMar>
          </w:tcPr>
          <w:p>
            <w:pPr>
              <w:spacing w:after="0" w:line="230"/>
            </w:pPr>
            <w:r>
              <w:rPr>
                <w:rFonts w:ascii="Calibri" w:cs="Calibri" w:eastAsia="Calibri" w:hAnsi="Calibri"/>
                <w:b/>
                <w:bCs/>
                <w:sz w:val="18"/>
                <w:szCs w:val="18"/>
              </w:rPr>
              <w:t xml:space="preserve">Stream</w:t>
            </w:r>
          </w:p>
        </w:tc>
        <w:tc>
          <w:tcPr>
            <w:tcW w:type="dxa" w:w="220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8"/>
                <w:szCs w:val="18"/>
              </w:rPr>
              <w:t xml:space="preserve">Tonnes recycled</w:t>
            </w:r>
          </w:p>
        </w:tc>
        <w:tc>
          <w:tcPr>
            <w:tcW w:type="dxa" w:w="3760"/>
            <w:shd w:fill="E8EEF1" w:color="auto" w:val="clear"/>
            <w:tcMar>
              <w:top w:type="dxa" w:w="45"/>
              <w:left w:type="dxa" w:w="85"/>
              <w:bottom w:type="dxa" w:w="45"/>
              <w:right w:type="dxa" w:w="85"/>
            </w:tcMar>
          </w:tcPr>
          <w:p>
            <w:pPr>
              <w:spacing w:after="0" w:line="230"/>
              <w:jc w:val="right"/>
            </w:pPr>
            <w:r>
              <w:rPr>
                <w:rFonts w:ascii="Calibri" w:cs="Calibri" w:eastAsia="Calibri" w:hAnsi="Calibri"/>
                <w:b/>
                <w:bCs/>
                <w:sz w:val="18"/>
                <w:szCs w:val="18"/>
              </w:rPr>
              <w:t xml:space="preserve">Treatment</w:t>
            </w:r>
          </w:p>
        </w:tc>
      </w:tr>
      <w:tr>
        <w:tc>
          <w:tcPr>
            <w:tcW w:type="dxa" w:w="3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Dismantling and depollution (DMDP)</w:t>
            </w:r>
          </w:p>
        </w:tc>
        <w:tc>
          <w:tcPr>
            <w:tcW w:type="dxa" w:w="22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8,609</w:t>
            </w:r>
          </w:p>
        </w:tc>
        <w:tc>
          <w:tcPr>
            <w:tcW w:type="dxa" w:w="376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Domestic</w:t>
            </w:r>
          </w:p>
        </w:tc>
      </w:tr>
      <w:tr>
        <w:tc>
          <w:tcPr>
            <w:tcW w:type="dxa" w:w="3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Shredding (W1910)</w:t>
            </w:r>
          </w:p>
        </w:tc>
        <w:tc>
          <w:tcPr>
            <w:tcW w:type="dxa" w:w="22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43,231</w:t>
            </w:r>
          </w:p>
        </w:tc>
        <w:tc>
          <w:tcPr>
            <w:tcW w:type="dxa" w:w="376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Domestic</w:t>
            </w:r>
          </w:p>
        </w:tc>
      </w:tr>
      <w:tr>
        <w:tc>
          <w:tcPr>
            <w:tcW w:type="dxa" w:w="3400"/>
            <w:tcMar>
              <w:top w:type="dxa" w:w="45"/>
              <w:left w:type="dxa" w:w="85"/>
              <w:bottom w:type="dxa" w:w="45"/>
              <w:right w:type="dxa" w:w="85"/>
            </w:tcMar>
          </w:tcPr>
          <w:p>
            <w:pPr>
              <w:spacing w:after="0" w:line="230"/>
            </w:pPr>
            <w:r>
              <w:rPr>
                <w:rFonts w:ascii="Calibri" w:cs="Calibri" w:eastAsia="Calibri" w:hAnsi="Calibri"/>
                <w:b/>
                <w:bCs/>
                <w:color w:val="1F4E5F"/>
                <w:sz w:val="18"/>
                <w:szCs w:val="18"/>
              </w:rPr>
              <w:t xml:space="preserve">Domestic subtotal</w:t>
            </w:r>
          </w:p>
        </w:tc>
        <w:tc>
          <w:tcPr>
            <w:tcW w:type="dxa" w:w="2200"/>
            <w:tcMar>
              <w:top w:type="dxa" w:w="45"/>
              <w:left w:type="dxa" w:w="85"/>
              <w:bottom w:type="dxa" w:w="45"/>
              <w:right w:type="dxa" w:w="85"/>
            </w:tcMar>
          </w:tcPr>
          <w:p>
            <w:pPr>
              <w:spacing w:after="0" w:line="230"/>
              <w:jc w:val="right"/>
            </w:pPr>
            <w:r>
              <w:rPr>
                <w:rFonts w:ascii="Calibri" w:cs="Calibri" w:eastAsia="Calibri" w:hAnsi="Calibri"/>
                <w:b/>
                <w:bCs/>
                <w:color w:val="1F4E5F"/>
                <w:sz w:val="18"/>
                <w:szCs w:val="18"/>
              </w:rPr>
              <w:t xml:space="preserve">51,840</w:t>
            </w:r>
          </w:p>
        </w:tc>
        <w:tc>
          <w:tcPr>
            <w:tcW w:type="dxa" w:w="3760"/>
            <w:tcMar>
              <w:top w:type="dxa" w:w="45"/>
              <w:left w:type="dxa" w:w="85"/>
              <w:bottom w:type="dxa" w:w="45"/>
              <w:right w:type="dxa" w:w="85"/>
            </w:tcMar>
          </w:tcPr>
          <w:p>
            <w:pPr>
              <w:spacing w:after="0" w:line="230"/>
              <w:jc w:val="right"/>
            </w:pPr>
            <w:r>
              <w:rPr>
                <w:rFonts w:ascii="Calibri" w:cs="Calibri" w:eastAsia="Calibri" w:hAnsi="Calibri"/>
                <w:b/>
                <w:bCs/>
                <w:color w:val="1F4E5F"/>
                <w:sz w:val="18"/>
                <w:szCs w:val="18"/>
              </w:rPr>
              <w:t xml:space="preserve">Attributable to Belgian processing</w:t>
            </w:r>
          </w:p>
        </w:tc>
      </w:tr>
      <w:tr>
        <w:tc>
          <w:tcPr>
            <w:tcW w:type="dxa" w:w="3400"/>
            <w:tcMar>
              <w:top w:type="dxa" w:w="45"/>
              <w:left w:type="dxa" w:w="85"/>
              <w:bottom w:type="dxa" w:w="45"/>
              <w:right w:type="dxa" w:w="85"/>
            </w:tcMar>
          </w:tcPr>
          <w:p>
            <w:pPr>
              <w:spacing w:after="0" w:line="230"/>
            </w:pPr>
            <w:r>
              <w:rPr>
                <w:rFonts w:ascii="Calibri" w:cs="Calibri" w:eastAsia="Calibri" w:hAnsi="Calibri"/>
                <w:b w:val="false"/>
                <w:bCs w:val="false"/>
                <w:sz w:val="18"/>
                <w:szCs w:val="18"/>
              </w:rPr>
              <w:t xml:space="preserve">Exported (EXP)</w:t>
            </w:r>
          </w:p>
        </w:tc>
        <w:tc>
          <w:tcPr>
            <w:tcW w:type="dxa" w:w="220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4,811</w:t>
            </w:r>
          </w:p>
        </w:tc>
        <w:tc>
          <w:tcPr>
            <w:tcW w:type="dxa" w:w="3760"/>
            <w:tcMar>
              <w:top w:type="dxa" w:w="45"/>
              <w:left w:type="dxa" w:w="85"/>
              <w:bottom w:type="dxa" w:w="45"/>
              <w:right w:type="dxa" w:w="85"/>
            </w:tcMar>
          </w:tcPr>
          <w:p>
            <w:pPr>
              <w:spacing w:after="0" w:line="230"/>
              <w:jc w:val="right"/>
            </w:pPr>
            <w:r>
              <w:rPr>
                <w:rFonts w:ascii="Calibri" w:cs="Calibri" w:eastAsia="Calibri" w:hAnsi="Calibri"/>
                <w:b w:val="false"/>
                <w:bCs w:val="false"/>
                <w:sz w:val="18"/>
                <w:szCs w:val="18"/>
              </w:rPr>
              <w:t xml:space="preserve">Excluded</w:t>
            </w:r>
          </w:p>
        </w:tc>
      </w:tr>
    </w:tbl>
    <w:p>
      <w:pPr>
        <w:spacing w:after="110" w:line="280"/>
      </w:pPr>
      <w:r>
        <w:rPr>
          <w:rFonts w:ascii="Calibri" w:cs="Calibri" w:eastAsia="Calibri" w:hAnsi="Calibri"/>
          <w:sz w:val="21"/>
          <w:szCs w:val="21"/>
        </w:rPr>
        <w:t xml:space="preserve">The EUR 19.7M - 25.8M estimate covers domestic processing only. The 4,811 t exported, 8.5% of recycled tonnage, is excluded.</w:t>
      </w:r>
    </w:p>
    <w:p>
      <w:pPr>
        <w:pStyle w:val="Heading2"/>
        <w:spacing w:after="80" w:before="200"/>
      </w:pPr>
      <w:r>
        <w:rPr>
          <w:rFonts w:ascii="Calibri" w:cs="Calibri" w:eastAsia="Calibri" w:hAnsi="Calibri"/>
          <w:b/>
          <w:bCs/>
          <w:sz w:val="22"/>
          <w:szCs w:val="22"/>
        </w:rPr>
        <w:t xml:space="preserve">Two caveats that limit this attribution</w:t>
      </w:r>
    </w:p>
    <w:p>
      <w:pPr>
        <w:pStyle w:val="ListParagraph"/>
        <w:numPr>
          <w:ilvl w:val="0"/>
          <w:numId w:val="2"/>
        </w:numPr>
        <w:spacing w:after="80" w:line="280"/>
      </w:pPr>
      <w:r>
        <w:rPr>
          <w:rFonts w:ascii="Calibri" w:cs="Calibri" w:eastAsia="Calibri" w:hAnsi="Calibri"/>
          <w:b/>
          <w:bCs/>
          <w:sz w:val="21"/>
          <w:szCs w:val="21"/>
        </w:rPr>
        <w:t xml:space="preserve">Vehicles exported before reaching ELV status never enter this dataset at all. </w:t>
      </w:r>
      <w:r>
        <w:rPr>
          <w:rFonts w:ascii="Calibri" w:cs="Calibri" w:eastAsia="Calibri" w:hAnsi="Calibri"/>
          <w:sz w:val="21"/>
          <w:szCs w:val="21"/>
        </w:rPr>
        <w:t xml:space="preserve">Eurostat's EXP covers exports within the ELV stream, not used-vehicle exports upstream. Belgium is a significant used-vehicle export hub; that flow is invisible here and would need UN Comtrade (HS 8703) to quantify.</w:t>
      </w:r>
    </w:p>
    <w:p>
      <w:pPr>
        <w:pStyle w:val="ListParagraph"/>
        <w:numPr>
          <w:ilvl w:val="0"/>
          <w:numId w:val="2"/>
        </w:numPr>
        <w:spacing w:after="150" w:line="280"/>
      </w:pPr>
      <w:r>
        <w:rPr>
          <w:rFonts w:ascii="Calibri" w:cs="Calibri" w:eastAsia="Calibri" w:hAnsi="Calibri"/>
          <w:b/>
          <w:bCs/>
          <w:sz w:val="21"/>
          <w:szCs w:val="21"/>
        </w:rPr>
        <w:t xml:space="preserve">Domestically processed is not the same as domestically consumed. </w:t>
      </w:r>
      <w:r>
        <w:rPr>
          <w:rFonts w:ascii="Calibri" w:cs="Calibri" w:eastAsia="Calibri" w:hAnsi="Calibri"/>
          <w:sz w:val="21"/>
          <w:szCs w:val="21"/>
        </w:rPr>
        <w:t xml:space="preserve">Eurostat records where treatment occurred, not where the resulting steel or Zorba was sold. Recovered material almost certainly enters international commodity markets. This is gross material value at the point of recovery, not retained Belgian economic value.</w:t>
      </w:r>
    </w:p>
    <w:p>
      <w:pPr>
        <w:pStyle w:val="Heading1"/>
        <w:pBdr>
          <w:bottom w:val="single" w:color="1F4E5F" w:sz="6" w:space="4"/>
        </w:pBdr>
        <w:spacing w:after="140" w:before="300"/>
      </w:pPr>
      <w:r>
        <w:rPr>
          <w:rFonts w:ascii="Calibri" w:cs="Calibri" w:eastAsia="Calibri" w:hAnsi="Calibri"/>
          <w:b/>
          <w:bCs/>
          <w:color w:val="1F4E5F"/>
          <w:sz w:val="25"/>
          <w:szCs w:val="25"/>
        </w:rPr>
        <w:t xml:space="preserve">F. Data Limitations</w:t>
      </w:r>
    </w:p>
    <w:p>
      <w:pPr>
        <w:pStyle w:val="ListParagraph"/>
        <w:numPr>
          <w:ilvl w:val="0"/>
          <w:numId w:val="2"/>
        </w:numPr>
        <w:spacing w:after="80" w:line="280"/>
      </w:pPr>
      <w:r>
        <w:rPr>
          <w:rFonts w:ascii="Calibri" w:cs="Calibri" w:eastAsia="Calibri" w:hAnsi="Calibri"/>
          <w:b/>
          <w:bCs/>
          <w:sz w:val="21"/>
          <w:szCs w:val="21"/>
        </w:rPr>
        <w:t xml:space="preserve">No official monetary figure exists. </w:t>
      </w:r>
      <w:r>
        <w:rPr>
          <w:rFonts w:ascii="Calibri" w:cs="Calibri" w:eastAsia="Calibri" w:hAnsi="Calibri"/>
          <w:sz w:val="21"/>
          <w:szCs w:val="21"/>
        </w:rPr>
        <w:t xml:space="preserve">Section D is entirely calculated.</w:t>
      </w:r>
    </w:p>
    <w:p>
      <w:pPr>
        <w:pStyle w:val="ListParagraph"/>
        <w:numPr>
          <w:ilvl w:val="0"/>
          <w:numId w:val="2"/>
        </w:numPr>
        <w:spacing w:after="80" w:line="280"/>
      </w:pPr>
      <w:r>
        <w:rPr>
          <w:rFonts w:ascii="Calibri" w:cs="Calibri" w:eastAsia="Calibri" w:hAnsi="Calibri"/>
          <w:b/>
          <w:bCs/>
          <w:sz w:val="21"/>
          <w:szCs w:val="21"/>
        </w:rPr>
        <w:t xml:space="preserve">Primary sources unreachable. </w:t>
      </w:r>
      <w:r>
        <w:rPr>
          <w:rFonts w:ascii="Calibri" w:cs="Calibri" w:eastAsia="Calibri" w:hAnsi="Calibri"/>
          <w:sz w:val="21"/>
          <w:szCs w:val="21"/>
        </w:rPr>
        <w:t xml:space="preserve">febelauto.be and cemonitor.be blocked by the egress proxy; Febelauto's annual reports were never opened.</w:t>
      </w:r>
    </w:p>
    <w:p>
      <w:pPr>
        <w:pStyle w:val="ListParagraph"/>
        <w:numPr>
          <w:ilvl w:val="0"/>
          <w:numId w:val="2"/>
        </w:numPr>
        <w:spacing w:after="80" w:line="280"/>
      </w:pPr>
      <w:r>
        <w:rPr>
          <w:rFonts w:ascii="Calibri" w:cs="Calibri" w:eastAsia="Calibri" w:hAnsi="Calibri"/>
          <w:b/>
          <w:bCs/>
          <w:sz w:val="21"/>
          <w:szCs w:val="21"/>
        </w:rPr>
        <w:t xml:space="preserve">Aluminum and copper cannot be separated </w:t>
      </w:r>
      <w:r>
        <w:rPr>
          <w:rFonts w:ascii="Calibri" w:cs="Calibri" w:eastAsia="Calibri" w:hAnsi="Calibri"/>
          <w:sz w:val="21"/>
          <w:szCs w:val="21"/>
        </w:rPr>
        <w:t xml:space="preserve">- both inside W191002.</w:t>
      </w:r>
    </w:p>
    <w:p>
      <w:pPr>
        <w:pStyle w:val="ListParagraph"/>
        <w:numPr>
          <w:ilvl w:val="0"/>
          <w:numId w:val="2"/>
        </w:numPr>
        <w:spacing w:after="80" w:line="280"/>
      </w:pPr>
      <w:r>
        <w:rPr>
          <w:rFonts w:ascii="Calibri" w:cs="Calibri" w:eastAsia="Calibri" w:hAnsi="Calibri"/>
          <w:b/>
          <w:bCs/>
          <w:sz w:val="21"/>
          <w:szCs w:val="21"/>
        </w:rPr>
        <w:t xml:space="preserve">Catalytic converters unpriced, </w:t>
      </w:r>
      <w:r>
        <w:rPr>
          <w:rFonts w:ascii="Calibri" w:cs="Calibri" w:eastAsia="Calibri" w:hAnsi="Calibri"/>
          <w:sz w:val="21"/>
          <w:szCs w:val="21"/>
        </w:rPr>
        <w:t xml:space="preserve">biasing the estimate downward by an unknown amount.</w:t>
      </w:r>
    </w:p>
    <w:p>
      <w:pPr>
        <w:pStyle w:val="ListParagraph"/>
        <w:numPr>
          <w:ilvl w:val="0"/>
          <w:numId w:val="2"/>
        </w:numPr>
        <w:spacing w:after="80" w:line="280"/>
      </w:pPr>
      <w:r>
        <w:rPr>
          <w:rFonts w:ascii="Calibri" w:cs="Calibri" w:eastAsia="Calibri" w:hAnsi="Calibri"/>
          <w:b/>
          <w:bCs/>
          <w:color w:val="9B2C2C"/>
          <w:sz w:val="21"/>
          <w:szCs w:val="21"/>
        </w:rPr>
        <w:t xml:space="preserve">"Follow the money" is essentially unanswerable from available sources. </w:t>
      </w:r>
      <w:r>
        <w:rPr>
          <w:rFonts w:ascii="Calibri" w:cs="Calibri" w:eastAsia="Calibri" w:hAnsi="Calibri"/>
          <w:color w:val="9B2C2C"/>
          <w:sz w:val="21"/>
          <w:szCs w:val="21"/>
        </w:rPr>
        <w:t xml:space="preserve">No data was found on producer fees, treatment costs, dismantler revenues, subsidies, or reusable-component resale. Gross versus net economic benefit cannot be computed. Net value requires collection, dismantling, shredding and sorting costs that no located source publishes.</w:t>
      </w:r>
    </w:p>
    <w:p>
      <w:pPr>
        <w:pStyle w:val="ListParagraph"/>
        <w:numPr>
          <w:ilvl w:val="0"/>
          <w:numId w:val="2"/>
        </w:numPr>
        <w:spacing w:after="80" w:line="280"/>
      </w:pPr>
      <w:r>
        <w:rPr>
          <w:rFonts w:ascii="Calibri" w:cs="Calibri" w:eastAsia="Calibri" w:hAnsi="Calibri"/>
          <w:b/>
          <w:bCs/>
          <w:sz w:val="21"/>
          <w:szCs w:val="21"/>
        </w:rPr>
        <w:t xml:space="preserve">Febelauto and Eurostat figures diverge </w:t>
      </w:r>
      <w:r>
        <w:rPr>
          <w:rFonts w:ascii="Calibri" w:cs="Calibri" w:eastAsia="Calibri" w:hAnsi="Calibri"/>
          <w:sz w:val="21"/>
          <w:szCs w:val="21"/>
        </w:rPr>
        <w:t xml:space="preserve">on definitions and are not reconcilable from public information.</w:t>
      </w:r>
    </w:p>
    <w:p>
      <w:pPr>
        <w:pStyle w:val="ListParagraph"/>
        <w:numPr>
          <w:ilvl w:val="0"/>
          <w:numId w:val="2"/>
        </w:numPr>
        <w:spacing w:after="80" w:line="280"/>
      </w:pPr>
      <w:r>
        <w:rPr>
          <w:rFonts w:ascii="Calibri" w:cs="Calibri" w:eastAsia="Calibri" w:hAnsi="Calibri"/>
          <w:b/>
          <w:bCs/>
          <w:sz w:val="21"/>
          <w:szCs w:val="21"/>
        </w:rPr>
        <w:t xml:space="preserve">No regional split. </w:t>
      </w:r>
      <w:r>
        <w:rPr>
          <w:rFonts w:ascii="Calibri" w:cs="Calibri" w:eastAsia="Calibri" w:hAnsi="Calibri"/>
          <w:sz w:val="21"/>
          <w:szCs w:val="21"/>
        </w:rPr>
        <w:t xml:space="preserve">Eurostat reports Belgium nationally; Flanders, Wallonia and Brussels breakdowns were not obtained.</w:t>
      </w:r>
    </w:p>
    <w:p>
      <w:pPr>
        <w:pStyle w:val="ListParagraph"/>
        <w:numPr>
          <w:ilvl w:val="0"/>
          <w:numId w:val="2"/>
        </w:numPr>
        <w:spacing w:after="80" w:line="280"/>
      </w:pPr>
      <w:r>
        <w:rPr>
          <w:rFonts w:ascii="Calibri" w:cs="Calibri" w:eastAsia="Calibri" w:hAnsi="Calibri"/>
          <w:b/>
          <w:bCs/>
          <w:sz w:val="21"/>
          <w:szCs w:val="21"/>
        </w:rPr>
        <w:t xml:space="preserve">Single vintage. </w:t>
      </w:r>
      <w:r>
        <w:rPr>
          <w:rFonts w:ascii="Calibri" w:cs="Calibri" w:eastAsia="Calibri" w:hAnsi="Calibri"/>
          <w:sz w:val="21"/>
          <w:szCs w:val="21"/>
        </w:rPr>
        <w:t xml:space="preserve">All Eurostat figures from the 28 April 2026 release; 2023 is the latest year.</w:t>
      </w:r>
    </w:p>
    <w:p>
      <w:pPr>
        <w:pStyle w:val="ListParagraph"/>
        <w:numPr>
          <w:ilvl w:val="0"/>
          <w:numId w:val="2"/>
        </w:numPr>
        <w:spacing w:after="150" w:line="280"/>
      </w:pPr>
      <w:r>
        <w:rPr>
          <w:rFonts w:ascii="Calibri" w:cs="Calibri" w:eastAsia="Calibri" w:hAnsi="Calibri"/>
          <w:b/>
          <w:bCs/>
          <w:sz w:val="21"/>
          <w:szCs w:val="21"/>
        </w:rPr>
        <w:t xml:space="preserve">FX rate (1.15) </w:t>
      </w:r>
      <w:r>
        <w:rPr>
          <w:rFonts w:ascii="Calibri" w:cs="Calibri" w:eastAsia="Calibri" w:hAnsi="Calibri"/>
          <w:sz w:val="21"/>
          <w:szCs w:val="21"/>
        </w:rPr>
        <w:t xml:space="preserve">is a spot approximation, not a period average.</w:t>
      </w:r>
    </w:p>
    <w:p>
      <w:pPr>
        <w:pStyle w:val="Heading1"/>
        <w:pBdr>
          <w:bottom w:val="single" w:color="1F4E5F" w:sz="6" w:space="4"/>
        </w:pBdr>
        <w:spacing w:after="140" w:before="300"/>
      </w:pPr>
      <w:r>
        <w:rPr>
          <w:rFonts w:ascii="Calibri" w:cs="Calibri" w:eastAsia="Calibri" w:hAnsi="Calibri"/>
          <w:b/>
          <w:bCs/>
          <w:color w:val="1F4E5F"/>
          <w:sz w:val="25"/>
          <w:szCs w:val="25"/>
        </w:rPr>
        <w:t xml:space="preserve">G. Capstone-Ready Finding</w:t>
      </w:r>
    </w:p>
    <w:p>
      <w:pPr>
        <w:pBdr>
          <w:top w:val="single" w:color="1F4E5F" w:sz="10" w:space="10"/>
          <w:bottom w:val="single" w:color="1F4E5F" w:sz="10" w:space="10"/>
        </w:pBdr>
        <w:shd w:fill="F4F6F7" w:color="auto" w:val="clear"/>
        <w:spacing w:after="160" w:line="300"/>
      </w:pPr>
      <w:r>
        <w:rPr>
          <w:rFonts w:ascii="Calibri" w:cs="Calibri" w:eastAsia="Calibri" w:hAnsi="Calibri"/>
          <w:color w:val="222222"/>
          <w:sz w:val="21"/>
          <w:szCs w:val="21"/>
        </w:rPr>
        <w:t xml:space="preserve">Belgium recovers an estimated EUR 19.7-25.8 million (USD 22.6-29.6 million) of gross material value annually from end-of-life vehicles processed domestically, based on 51,840 tonnes of material recycled in 2023, the most recent year available. This estimate is calculated, not reported: Belgium publishes detailed material tonnages to Eurostat but no monetary valuation, so quantities are official while prices are secondary-market bands, with ferrous scrap (33,892 t) contributing 60-69% of the total and carrying the strongest price evidence. The figure excludes 4,811 tonnes of exported ELV material and 83 tonnes of catalytic converters whose platinum-group-metal value could not be defensibly priced, making it a conservative lower bound. Critically, recovered ferrous tonnage has fallen 47% since its 2018 peak even as Belgium's recycling rate improved, meaning the material value recovered is declining despite improving compliance, a divergence invisible in rate-based reporting. The estimate represents gross value at the point of recovery, not net economic benefit, as no public source discloses Belgian collection, dismantling or shredding costs.</w:t>
      </w:r>
    </w:p>
    <w:p>
      <w:pPr>
        <w:pStyle w:val="Heading1"/>
        <w:pBdr>
          <w:bottom w:val="single" w:color="1F4E5F" w:sz="6" w:space="4"/>
        </w:pBdr>
        <w:spacing w:after="140" w:before="300"/>
      </w:pPr>
      <w:r>
        <w:rPr>
          <w:rFonts w:ascii="Calibri" w:cs="Calibri" w:eastAsia="Calibri" w:hAnsi="Calibri"/>
          <w:b/>
          <w:bCs/>
          <w:color w:val="1F4E5F"/>
          <w:sz w:val="25"/>
          <w:szCs w:val="25"/>
        </w:rPr>
        <w:t xml:space="preserve">Reproducibility</w:t>
      </w:r>
    </w:p>
    <w:p>
      <w:pPr>
        <w:spacing w:after="110" w:line="280"/>
      </w:pPr>
      <w:r>
        <w:rPr>
          <w:rFonts w:ascii="Calibri" w:cs="Calibri" w:eastAsia="Calibri" w:hAnsi="Calibri"/>
          <w:sz w:val="21"/>
          <w:szCs w:val="21"/>
        </w:rPr>
        <w:t xml:space="preserve">Every tonnage traces to elv_silver.elv_detail filtered to country_code_iso='BE', unit_code='T', operation_code='RCY', sourced from Eurostat ENV_WASELV via eu_elv/pipeline/fetch_bronze_api.py. Substituting better price data into the Section D table reproduces a revised total directly.</w:t>
      </w:r>
    </w:p>
    <w:p>
      <w:pPr>
        <w:spacing w:after="0" w:line="280"/>
      </w:pPr>
      <w:r>
        <w:rPr>
          <w:rFonts w:ascii="Calibri" w:cs="Calibri" w:eastAsia="Calibri" w:hAnsi="Calibri"/>
          <w:b/>
          <w:bCs/>
          <w:sz w:val="21"/>
          <w:szCs w:val="21"/>
        </w:rPr>
        <w:t xml:space="preserve">To strengthen this materially: obtain Febelauto's annual reports from an unblocked network. They are the one source likely to carry material-level and possibly financial detail that Eurostat does not.</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2026-08-14T03:12:43.166Z</dcterms:created>
  <dcterms:modified xsi:type="dcterms:W3CDTF">2026-08-14T03:12:43.166Z</dcterms:modified>
</cp:coreProperties>
</file>

<file path=docProps/custom.xml><?xml version="1.0" encoding="utf-8"?>
<Properties xmlns="http://schemas.openxmlformats.org/officeDocument/2006/custom-properties" xmlns:vt="http://schemas.openxmlformats.org/officeDocument/2006/docPropsVTypes"/>
</file>