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5F"/>
          <w:sz w:val="34"/>
          <w:szCs w:val="34"/>
        </w:rPr>
        <w:t xml:space="preserve">EU ELV Capstone — Dashboard Tool Comparison</w:t>
      </w:r>
    </w:p>
    <w:p>
      <w:pPr>
        <w:spacing w:after="40" w:line="276"/>
      </w:pPr>
      <w:r>
        <w:rPr>
          <w:rFonts w:ascii="Calibri" w:cs="Calibri" w:eastAsia="Calibri" w:hAnsi="Calibri"/>
          <w:color w:val="595959"/>
          <w:sz w:val="20"/>
          <w:szCs w:val="20"/>
        </w:rPr>
        <w:t xml:space="preserve">Tableau · Looker Studio · Streamlit — evaluated against the project's BigQuery gold layer</w:t>
      </w:r>
    </w:p>
    <w:p>
      <w:pPr>
        <w:spacing w:after="220" w:line="276"/>
      </w:pPr>
      <w:r>
        <w:rPr>
          <w:rFonts w:ascii="Calibri" w:cs="Calibri" w:eastAsia="Calibri" w:hAnsi="Calibri"/>
          <w:color w:val="595959"/>
          <w:sz w:val="20"/>
          <w:szCs w:val="20"/>
        </w:rPr>
        <w:t xml:space="preserve">Prepared 1 August 2026 · for the capstone engineering team and faculty adviser</w:t>
      </w:r>
    </w:p>
    <w:p>
      <w:pPr>
        <w:pBdr>
          <w:top w:val="single" w:color="8A4B00" w:sz="8" w:space="8"/>
          <w:bottom w:val="single" w:color="8A4B00" w:sz="8" w:space="8"/>
        </w:pBdr>
        <w:shd w:fill="FBF3E4" w:color="auto" w:val="clear"/>
        <w:spacing w:after="200"/>
      </w:pPr>
      <w:r>
        <w:rPr>
          <w:rFonts w:ascii="Calibri" w:cs="Calibri" w:eastAsia="Calibri" w:hAnsi="Calibri"/>
          <w:b/>
          <w:bCs/>
          <w:color w:val="8A4B00"/>
          <w:sz w:val="21"/>
          <w:szCs w:val="21"/>
        </w:rPr>
        <w:t xml:space="preserve">Scope note — please read first. </w:t>
      </w:r>
      <w:r>
        <w:rPr>
          <w:rFonts w:ascii="Calibri" w:cs="Calibri" w:eastAsia="Calibri" w:hAnsi="Calibri"/>
          <w:color w:val="8A4B00"/>
          <w:sz w:val="20"/>
          <w:szCs w:val="20"/>
        </w:rPr>
        <w:t xml:space="preserve">No prior Tableau or Looker Studio comparison could be located. The capstone repository (30 files), the msbai-dwd-nb4603 repository, and the Notion workspace were all searched, including a direct fetch of the "Capstone OS — ELV Recycling Gap" page; a keyword search for Tableau, Looker, Data Studio and Power BI across both repositories returns no matches. The Tableau and Looker Studio assessments below are therefore new analysis, not a restatement of the team's earlier findings. If an existing comparison exists outside these sources, it should be merged with this document rather than replaced by it.</w:t>
      </w:r>
    </w:p>
    <w:p>
      <w:pPr>
        <w:spacing w:after="160" w:line="276"/>
      </w:pPr>
      <w:r>
        <w:rPr>
          <w:rFonts w:ascii="Calibri" w:cs="Calibri" w:eastAsia="Calibri" w:hAnsi="Calibri"/>
          <w:i/>
          <w:iCs/>
          <w:color w:val="595959"/>
          <w:sz w:val="20"/>
          <w:szCs w:val="20"/>
        </w:rPr>
        <w:t xml:space="preserve">The Streamlit assessment is on a different evidential footing from the other two: the project already runs a Streamlit dashboard in production on Cloud Run, so its evaluation reflects measured experience rather than projection. Configuration cited throughout was read from the live service on 1 August 2026.</w:t>
      </w:r>
    </w:p>
    <w:p>
      <w:pPr>
        <w:pStyle w:val="Heading1"/>
        <w:pBdr>
          <w:bottom w:val="single" w:color="1F4E5F" w:sz="6" w:space="4"/>
        </w:pBdr>
        <w:spacing w:after="150" w:before="300"/>
      </w:pPr>
      <w:r>
        <w:rPr>
          <w:rFonts w:ascii="Calibri" w:cs="Calibri" w:eastAsia="Calibri" w:hAnsi="Calibri"/>
          <w:b/>
          <w:bCs/>
          <w:color w:val="1F4E5F"/>
          <w:sz w:val="26"/>
          <w:szCs w:val="26"/>
        </w:rPr>
        <w:t xml:space="preserve">Tool summaries</w:t>
      </w:r>
    </w:p>
    <w:p>
      <w:pPr>
        <w:pStyle w:val="Heading2"/>
        <w:spacing w:after="90" w:before="220"/>
      </w:pPr>
      <w:r>
        <w:rPr>
          <w:rFonts w:ascii="Calibri" w:cs="Calibri" w:eastAsia="Calibri" w:hAnsi="Calibri"/>
          <w:b/>
          <w:bCs/>
          <w:sz w:val="23"/>
          <w:szCs w:val="23"/>
        </w:rPr>
        <w:t xml:space="preserve">Tableau</w:t>
      </w:r>
    </w:p>
    <w:p>
      <w:pPr>
        <w:spacing w:after="160" w:line="276"/>
      </w:pPr>
      <w:r>
        <w:rPr>
          <w:rFonts w:ascii="Calibri" w:cs="Calibri" w:eastAsia="Calibri" w:hAnsi="Calibri"/>
          <w:sz w:val="22"/>
          <w:szCs w:val="22"/>
        </w:rPr>
        <w:t xml:space="preserve">Tableau is the strongest option for executive presentation polish and ad-hoc exploration by non-engineers, and its mature native BigQuery connector would read the gold layer directly. Its weaknesses are structural for this project: workbooks are binary artifacts that do not diff or review in GitHub, and none of the existing Python analysis code carries over. It is the only option of the three carrying unavoidable software licensing cost.</w:t>
      </w:r>
    </w:p>
    <w:p>
      <w:pPr>
        <w:pStyle w:val="Heading2"/>
        <w:spacing w:after="90" w:before="220"/>
      </w:pPr>
      <w:r>
        <w:rPr>
          <w:rFonts w:ascii="Calibri" w:cs="Calibri" w:eastAsia="Calibri" w:hAnsi="Calibri"/>
          <w:b/>
          <w:bCs/>
          <w:sz w:val="23"/>
          <w:szCs w:val="23"/>
        </w:rPr>
        <w:t xml:space="preserve">Looker Studio</w:t>
      </w:r>
    </w:p>
    <w:p>
      <w:pPr>
        <w:spacing w:after="160" w:line="276"/>
      </w:pPr>
      <w:r>
        <w:rPr>
          <w:rFonts w:ascii="Calibri" w:cs="Calibri" w:eastAsia="Calibri" w:hAnsi="Calibri"/>
          <w:sz w:val="22"/>
          <w:szCs w:val="22"/>
        </w:rPr>
        <w:t xml:space="preserve">Looker Studio is the lowest-effort path — it lives in the same Google Cloud project, authenticates through the same IAM the pipeline already uses, and connects to elv_gold.elv_country_year with no deployment step. It is free at the standard tier and requires effectively no engineering time to keep running. The trade-off is a firm ceiling on custom logic: the two-tier anomaly presentation and the export-lens framing would need simplifying, and no existing Python is reusable.</w:t>
      </w:r>
    </w:p>
    <w:p>
      <w:pPr>
        <w:pStyle w:val="Heading2"/>
        <w:spacing w:after="90" w:before="220"/>
      </w:pPr>
      <w:r>
        <w:rPr>
          <w:rFonts w:ascii="Calibri" w:cs="Calibri" w:eastAsia="Calibri" w:hAnsi="Calibri"/>
          <w:b/>
          <w:bCs/>
          <w:sz w:val="23"/>
          <w:szCs w:val="23"/>
        </w:rPr>
        <w:t xml:space="preserve">Streamlit</w:t>
      </w:r>
    </w:p>
    <w:p>
      <w:pPr>
        <w:spacing w:after="200" w:line="276"/>
      </w:pPr>
      <w:r>
        <w:rPr>
          <w:rFonts w:ascii="Calibri" w:cs="Calibri" w:eastAsia="Calibri" w:hAnsi="Calibri"/>
          <w:sz w:val="22"/>
          <w:szCs w:val="22"/>
        </w:rPr>
        <w:t xml:space="preserve">Streamlit is already in production for this project, making it the only option with a proven rather than projected fit — eu_elv/dashboard/app.py is version-controlled alongside the pipeline, reviewed through the same pull requests, and deployed via the existing Cloud Build and Cloud Run path. It reuses the project's Python directly and imposes no ceiling on custom logic. The cost is engineering ownership: the team debugs its own failures, and this application has already hit one non-obvious crash that a hosted BI tool would not have produced.</w:t>
      </w:r>
    </w:p>
    <w:p>
      <w:pPr>
        <w:pStyle w:val="Heading1"/>
        <w:pBdr>
          <w:bottom w:val="single" w:color="1F4E5F" w:sz="6" w:space="4"/>
        </w:pBdr>
        <w:spacing w:after="150" w:before="300"/>
      </w:pPr>
      <w:r>
        <w:rPr>
          <w:rFonts w:ascii="Calibri" w:cs="Calibri" w:eastAsia="Calibri" w:hAnsi="Calibri"/>
          <w:b/>
          <w:bCs/>
          <w:color w:val="1F4E5F"/>
          <w:sz w:val="26"/>
          <w:szCs w:val="26"/>
        </w:rPr>
        <w:t xml:space="preserve">Streamlit against the ten evaluation criteria</w:t>
      </w:r>
    </w:p>
    <w:p>
      <w:pPr>
        <w:pStyle w:val="ListParagraph"/>
        <w:numPr>
          <w:ilvl w:val="0"/>
          <w:numId w:val="2"/>
        </w:numPr>
        <w:spacing w:after="90" w:line="276"/>
      </w:pPr>
      <w:r>
        <w:rPr>
          <w:rFonts w:ascii="Calibri" w:cs="Calibri" w:eastAsia="Calibri" w:hAnsi="Calibri"/>
          <w:b/>
          <w:bCs/>
          <w:sz w:val="22"/>
          <w:szCs w:val="22"/>
        </w:rPr>
        <w:t xml:space="preserve">1–3. Pipeline integration, gold layer, Python reuse. </w:t>
      </w:r>
      <w:r>
        <w:rPr>
          <w:rFonts w:ascii="Calibri" w:cs="Calibri" w:eastAsia="Calibri" w:hAnsi="Calibri"/>
          <w:sz w:val="22"/>
          <w:szCs w:val="22"/>
        </w:rPr>
        <w:t xml:space="preserve">Fully integrated today. One caveat: the deployed app does not query BigQuery at runtime — it reads a baked-in 543-row CSV extract. This removes authentication and network latency from every cold start and means the runtime service account needs zero BigQuery access. Live gold-layer querying is straightforward to add but is not what runs today, and would add IAM surface and per-query latency for a table of only 39.6 KiB.</w:t>
      </w:r>
    </w:p>
    <w:p>
      <w:pPr>
        <w:pStyle w:val="ListParagraph"/>
        <w:numPr>
          <w:ilvl w:val="0"/>
          <w:numId w:val="2"/>
        </w:numPr>
        <w:spacing w:after="90" w:line="276"/>
      </w:pPr>
      <w:r>
        <w:rPr>
          <w:rFonts w:ascii="Calibri" w:cs="Calibri" w:eastAsia="Calibri" w:hAnsi="Calibri"/>
          <w:b/>
          <w:bCs/>
          <w:sz w:val="22"/>
          <w:szCs w:val="22"/>
        </w:rPr>
        <w:t xml:space="preserve">4. Hosting and deployment. </w:t>
      </w:r>
      <w:r>
        <w:rPr>
          <w:rFonts w:ascii="Calibri" w:cs="Calibri" w:eastAsia="Calibri" w:hAnsi="Calibri"/>
          <w:sz w:val="22"/>
          <w:szCs w:val="22"/>
        </w:rPr>
        <w:t xml:space="preserve">Google Cloud Run, deployed from source via Cloud Build. Live configuration: 1 vCPU, 512 MiB memory, maximum 2 instances, scale-to-zero, request concurrency 80, public ingress.</w:t>
      </w:r>
    </w:p>
    <w:p>
      <w:pPr>
        <w:pStyle w:val="ListParagraph"/>
        <w:numPr>
          <w:ilvl w:val="0"/>
          <w:numId w:val="2"/>
        </w:numPr>
        <w:spacing w:after="90" w:line="276"/>
      </w:pPr>
      <w:r>
        <w:rPr>
          <w:rFonts w:ascii="Calibri" w:cs="Calibri" w:eastAsia="Calibri" w:hAnsi="Calibri"/>
          <w:b/>
          <w:bCs/>
          <w:sz w:val="22"/>
          <w:szCs w:val="22"/>
        </w:rPr>
        <w:t xml:space="preserve">5. Authentication, permissions, credentials. </w:t>
      </w:r>
      <w:r>
        <w:rPr>
          <w:rFonts w:ascii="Calibri" w:cs="Calibri" w:eastAsia="Calibri" w:hAnsi="Calibri"/>
          <w:sz w:val="22"/>
          <w:szCs w:val="22"/>
        </w:rPr>
        <w:t xml:space="preserve">Runs as the project-local default compute service account with no granted permissions, because it makes no API calls at runtime — the strongest available posture. This was a deliberate correction: an earlier attempt to run it as the cross-project claude-agent@ identity was blocked by organization policy and then abandoned as unnecessary. Note there is currently no viewer authentication; roles/run.invoker is bound to allUsers. Adding SSO would require IAP or Streamlit's own auth and is unbuilt work.</w:t>
      </w:r>
    </w:p>
    <w:p>
      <w:pPr>
        <w:pStyle w:val="ListParagraph"/>
        <w:numPr>
          <w:ilvl w:val="0"/>
          <w:numId w:val="2"/>
        </w:numPr>
        <w:spacing w:after="90" w:line="276"/>
      </w:pPr>
      <w:r>
        <w:rPr>
          <w:rFonts w:ascii="Calibri" w:cs="Calibri" w:eastAsia="Calibri" w:hAnsi="Calibri"/>
          <w:b/>
          <w:bCs/>
          <w:sz w:val="22"/>
          <w:szCs w:val="22"/>
        </w:rPr>
        <w:t xml:space="preserve">6. Collaboration and version control. </w:t>
      </w:r>
      <w:r>
        <w:rPr>
          <w:rFonts w:ascii="Calibri" w:cs="Calibri" w:eastAsia="Calibri" w:hAnsi="Calibri"/>
          <w:sz w:val="22"/>
          <w:szCs w:val="22"/>
        </w:rPr>
        <w:t xml:space="preserve">The strongest of the three. The application is a reviewable Python file in the same repository and pull-request flow as the pipeline that feeds it.</w:t>
      </w:r>
    </w:p>
    <w:p>
      <w:pPr>
        <w:pStyle w:val="ListParagraph"/>
        <w:numPr>
          <w:ilvl w:val="0"/>
          <w:numId w:val="2"/>
        </w:numPr>
        <w:spacing w:after="90" w:line="276"/>
      </w:pPr>
      <w:r>
        <w:rPr>
          <w:rFonts w:ascii="Calibri" w:cs="Calibri" w:eastAsia="Calibri" w:hAnsi="Calibri"/>
          <w:b/>
          <w:bCs/>
          <w:sz w:val="22"/>
          <w:szCs w:val="22"/>
        </w:rPr>
        <w:t xml:space="preserve">7. Interactivity. </w:t>
      </w:r>
      <w:r>
        <w:rPr>
          <w:rFonts w:ascii="Calibri" w:cs="Calibri" w:eastAsia="Calibri" w:hAnsi="Calibri"/>
          <w:sz w:val="22"/>
          <w:szCs w:val="22"/>
        </w:rPr>
        <w:t xml:space="preserve">Already implemented: tabbed layout, multi-select year filter, grouped bar charts, a Plotly choropleth map, KPI captions and markdown tables. Two constraints surfaced in practice — st.dataframe() segfaults through pyarrow in this environment and takes down the whole server, and the map's base topology loads from cdn.plot.ly in the viewer's own browser, which has never been visually verified.</w:t>
      </w:r>
    </w:p>
    <w:p>
      <w:pPr>
        <w:pStyle w:val="ListParagraph"/>
        <w:numPr>
          <w:ilvl w:val="0"/>
          <w:numId w:val="2"/>
        </w:numPr>
        <w:spacing w:after="90" w:line="276"/>
      </w:pPr>
      <w:r>
        <w:rPr>
          <w:rFonts w:ascii="Calibri" w:cs="Calibri" w:eastAsia="Calibri" w:hAnsi="Calibri"/>
          <w:b/>
          <w:bCs/>
          <w:sz w:val="22"/>
          <w:szCs w:val="22"/>
        </w:rPr>
        <w:t xml:space="preserve">8. Visual polish. </w:t>
      </w:r>
      <w:r>
        <w:rPr>
          <w:rFonts w:ascii="Calibri" w:cs="Calibri" w:eastAsia="Calibri" w:hAnsi="Calibri"/>
          <w:sz w:val="22"/>
          <w:szCs w:val="22"/>
        </w:rPr>
        <w:t xml:space="preserve">Adequate; below Tableau by default. Presentation quality is achievable but is engineering time rather than a product feature.</w:t>
      </w:r>
    </w:p>
    <w:p>
      <w:pPr>
        <w:pStyle w:val="ListParagraph"/>
        <w:numPr>
          <w:ilvl w:val="0"/>
          <w:numId w:val="2"/>
        </w:numPr>
        <w:spacing w:after="180" w:line="276"/>
      </w:pPr>
      <w:r>
        <w:rPr>
          <w:rFonts w:ascii="Calibri" w:cs="Calibri" w:eastAsia="Calibri" w:hAnsi="Calibri"/>
          <w:b/>
          <w:bCs/>
          <w:sz w:val="22"/>
          <w:szCs w:val="22"/>
        </w:rPr>
        <w:t xml:space="preserve">9. Maintenance and sustainability. </w:t>
      </w:r>
      <w:r>
        <w:rPr>
          <w:rFonts w:ascii="Calibri" w:cs="Calibri" w:eastAsia="Calibri" w:hAnsi="Calibri"/>
          <w:sz w:val="22"/>
          <w:szCs w:val="22"/>
        </w:rPr>
        <w:t xml:space="preserve">The clearest risk. This is bespoke software requiring a maintainer fluent in Python and Cloud Run. Once the capstone team disperses, Looker Studio survives neglect considerably better.</w:t>
      </w:r>
    </w:p>
    <w:p>
      <w:pPr>
        <w:pStyle w:val="Heading2"/>
        <w:spacing w:after="90" w:before="220"/>
      </w:pPr>
      <w:r>
        <w:rPr>
          <w:rFonts w:ascii="Calibri" w:cs="Calibri" w:eastAsia="Calibri" w:hAnsi="Calibri"/>
          <w:b/>
          <w:bCs/>
          <w:sz w:val="23"/>
          <w:szCs w:val="23"/>
        </w:rPr>
        <w:t xml:space="preserve">10. Estimated costs — licensing separated from hosting</w:t>
      </w:r>
    </w:p>
    <w:tbl>
      <w:tblPr>
        <w:tblW w:type="dxa" w:w="9360"/>
        <w:tblBorders>
          <w:top w:val="single" w:color="BFBFBF" w:sz="4"/>
          <w:left w:val="none"/>
          <w:bottom w:val="single" w:color="BFBFBF" w:sz="4"/>
          <w:right w:val="none"/>
          <w:insideH w:val="single" w:color="D9D9D9" w:sz="2"/>
          <w:insideV w:val="none"/>
        </w:tblBorders>
      </w:tblPr>
      <w:tblGrid>
        <w:gridCol w:w="2600"/>
        <w:gridCol w:w="2300"/>
        <w:gridCol w:w="4460"/>
      </w:tblGrid>
      <w:tr>
        <w:trPr>
          <w:tblHeader/>
        </w:trPr>
        <w:tc>
          <w:tcPr>
            <w:tcW w:type="dxa" w:w="2600"/>
            <w:shd w:fill="E8EEF1" w:color="auto" w:val="clear"/>
            <w:tcMar>
              <w:top w:type="dxa" w:w="50"/>
              <w:left w:type="dxa" w:w="80"/>
              <w:bottom w:type="dxa" w:w="50"/>
              <w:right w:type="dxa" w:w="80"/>
            </w:tcMar>
          </w:tcPr>
          <w:p>
            <w:pPr>
              <w:spacing w:after="0" w:line="230"/>
            </w:pPr>
            <w:r>
              <w:rPr>
                <w:rFonts w:ascii="Calibri" w:cs="Calibri" w:eastAsia="Calibri" w:hAnsi="Calibri"/>
                <w:b/>
                <w:bCs/>
                <w:sz w:val="20"/>
                <w:szCs w:val="20"/>
              </w:rPr>
              <w:t xml:space="preserve">Deployment option</w:t>
            </w:r>
          </w:p>
        </w:tc>
        <w:tc>
          <w:tcPr>
            <w:tcW w:type="dxa" w:w="2300"/>
            <w:shd w:fill="E8EEF1" w:color="auto" w:val="clear"/>
            <w:tcMar>
              <w:top w:type="dxa" w:w="50"/>
              <w:left w:type="dxa" w:w="80"/>
              <w:bottom w:type="dxa" w:w="50"/>
              <w:right w:type="dxa" w:w="80"/>
            </w:tcMar>
          </w:tcPr>
          <w:p>
            <w:pPr>
              <w:spacing w:after="0" w:line="230"/>
            </w:pPr>
            <w:r>
              <w:rPr>
                <w:rFonts w:ascii="Calibri" w:cs="Calibri" w:eastAsia="Calibri" w:hAnsi="Calibri"/>
                <w:b/>
                <w:bCs/>
                <w:sz w:val="20"/>
                <w:szCs w:val="20"/>
              </w:rPr>
              <w:t xml:space="preserve">Software license</w:t>
            </w:r>
          </w:p>
        </w:tc>
        <w:tc>
          <w:tcPr>
            <w:tcW w:type="dxa" w:w="4460"/>
            <w:shd w:fill="E8EEF1" w:color="auto" w:val="clear"/>
            <w:tcMar>
              <w:top w:type="dxa" w:w="50"/>
              <w:left w:type="dxa" w:w="80"/>
              <w:bottom w:type="dxa" w:w="50"/>
              <w:right w:type="dxa" w:w="80"/>
            </w:tcMar>
          </w:tcPr>
          <w:p>
            <w:pPr>
              <w:spacing w:after="0" w:line="230"/>
            </w:pPr>
            <w:r>
              <w:rPr>
                <w:rFonts w:ascii="Calibri" w:cs="Calibri" w:eastAsia="Calibri" w:hAnsi="Calibri"/>
                <w:b/>
                <w:bCs/>
                <w:sz w:val="20"/>
                <w:szCs w:val="20"/>
              </w:rPr>
              <w:t xml:space="preserve">Hosting / infrastructure</w:t>
            </w:r>
          </w:p>
        </w:tc>
      </w:tr>
      <w:tr>
        <w:tc>
          <w:tcPr>
            <w:tcW w:type="dxa" w:w="2600"/>
            <w:tcMar>
              <w:top w:type="dxa" w:w="50"/>
              <w:left w:type="dxa" w:w="80"/>
              <w:bottom w:type="dxa" w:w="50"/>
              <w:right w:type="dxa" w:w="80"/>
            </w:tcMar>
          </w:tcPr>
          <w:p>
            <w:pPr>
              <w:spacing w:after="0" w:line="230"/>
            </w:pPr>
            <w:r>
              <w:rPr>
                <w:rFonts w:ascii="Calibri" w:cs="Calibri" w:eastAsia="Calibri" w:hAnsi="Calibri"/>
                <w:b/>
                <w:bCs/>
                <w:sz w:val="20"/>
                <w:szCs w:val="20"/>
              </w:rPr>
              <w:t xml:space="preserve">Local development</w:t>
            </w:r>
          </w:p>
        </w:tc>
        <w:tc>
          <w:tcPr>
            <w:tcW w:type="dxa" w:w="2300"/>
            <w:tcMar>
              <w:top w:type="dxa" w:w="50"/>
              <w:left w:type="dxa" w:w="80"/>
              <w:bottom w:type="dxa" w:w="50"/>
              <w:right w:type="dxa" w:w="80"/>
            </w:tcMar>
          </w:tcPr>
          <w:p>
            <w:pPr>
              <w:spacing w:after="0" w:line="230"/>
            </w:pPr>
            <w:r>
              <w:rPr>
                <w:rFonts w:ascii="Calibri" w:cs="Calibri" w:eastAsia="Calibri" w:hAnsi="Calibri"/>
                <w:b w:val="false"/>
                <w:bCs w:val="false"/>
                <w:sz w:val="20"/>
                <w:szCs w:val="20"/>
              </w:rPr>
              <w:t xml:space="preserve">$0 (open source)</w:t>
            </w:r>
          </w:p>
        </w:tc>
        <w:tc>
          <w:tcPr>
            <w:tcW w:type="dxa" w:w="4460"/>
            <w:tcMar>
              <w:top w:type="dxa" w:w="50"/>
              <w:left w:type="dxa" w:w="80"/>
              <w:bottom w:type="dxa" w:w="50"/>
              <w:right w:type="dxa" w:w="80"/>
            </w:tcMar>
          </w:tcPr>
          <w:p>
            <w:pPr>
              <w:spacing w:after="0" w:line="230"/>
            </w:pPr>
            <w:r>
              <w:rPr>
                <w:rFonts w:ascii="Calibri" w:cs="Calibri" w:eastAsia="Calibri" w:hAnsi="Calibri"/>
                <w:b w:val="false"/>
                <w:bCs w:val="false"/>
                <w:sz w:val="20"/>
                <w:szCs w:val="20"/>
              </w:rPr>
              <w:t xml:space="preserve">$0</w:t>
            </w:r>
          </w:p>
        </w:tc>
      </w:tr>
      <w:tr>
        <w:tc>
          <w:tcPr>
            <w:tcW w:type="dxa" w:w="2600"/>
            <w:tcMar>
              <w:top w:type="dxa" w:w="50"/>
              <w:left w:type="dxa" w:w="80"/>
              <w:bottom w:type="dxa" w:w="50"/>
              <w:right w:type="dxa" w:w="80"/>
            </w:tcMar>
          </w:tcPr>
          <w:p>
            <w:pPr>
              <w:spacing w:after="0" w:line="230"/>
            </w:pPr>
            <w:r>
              <w:rPr>
                <w:rFonts w:ascii="Calibri" w:cs="Calibri" w:eastAsia="Calibri" w:hAnsi="Calibri"/>
                <w:b/>
                <w:bCs/>
                <w:sz w:val="20"/>
                <w:szCs w:val="20"/>
              </w:rPr>
              <w:t xml:space="preserve">Streamlit Community Cloud</w:t>
            </w:r>
          </w:p>
        </w:tc>
        <w:tc>
          <w:tcPr>
            <w:tcW w:type="dxa" w:w="2300"/>
            <w:tcMar>
              <w:top w:type="dxa" w:w="50"/>
              <w:left w:type="dxa" w:w="80"/>
              <w:bottom w:type="dxa" w:w="50"/>
              <w:right w:type="dxa" w:w="80"/>
            </w:tcMar>
          </w:tcPr>
          <w:p>
            <w:pPr>
              <w:spacing w:after="0" w:line="230"/>
            </w:pPr>
            <w:r>
              <w:rPr>
                <w:rFonts w:ascii="Calibri" w:cs="Calibri" w:eastAsia="Calibri" w:hAnsi="Calibri"/>
                <w:b w:val="false"/>
                <w:bCs w:val="false"/>
                <w:sz w:val="20"/>
                <w:szCs w:val="20"/>
              </w:rPr>
              <w:t xml:space="preserve">$0</w:t>
            </w:r>
          </w:p>
        </w:tc>
        <w:tc>
          <w:tcPr>
            <w:tcW w:type="dxa" w:w="4460"/>
            <w:tcMar>
              <w:top w:type="dxa" w:w="50"/>
              <w:left w:type="dxa" w:w="80"/>
              <w:bottom w:type="dxa" w:w="50"/>
              <w:right w:type="dxa" w:w="80"/>
            </w:tcMar>
          </w:tcPr>
          <w:p>
            <w:pPr>
              <w:spacing w:after="0" w:line="230"/>
            </w:pPr>
            <w:r>
              <w:rPr>
                <w:rFonts w:ascii="Calibri" w:cs="Calibri" w:eastAsia="Calibri" w:hAnsi="Calibri"/>
                <w:b w:val="false"/>
                <w:bCs w:val="false"/>
                <w:sz w:val="20"/>
                <w:szCs w:val="20"/>
              </w:rPr>
              <w:t xml:space="preserve">$0 — public apps only, resource caps, not production-grade</w:t>
            </w:r>
          </w:p>
        </w:tc>
      </w:tr>
      <w:tr>
        <w:tc>
          <w:tcPr>
            <w:tcW w:type="dxa" w:w="2600"/>
            <w:tcMar>
              <w:top w:type="dxa" w:w="50"/>
              <w:left w:type="dxa" w:w="80"/>
              <w:bottom w:type="dxa" w:w="50"/>
              <w:right w:type="dxa" w:w="80"/>
            </w:tcMar>
          </w:tcPr>
          <w:p>
            <w:pPr>
              <w:spacing w:after="0" w:line="230"/>
            </w:pPr>
            <w:r>
              <w:rPr>
                <w:rFonts w:ascii="Calibri" w:cs="Calibri" w:eastAsia="Calibri" w:hAnsi="Calibri"/>
                <w:b/>
                <w:bCs/>
                <w:sz w:val="20"/>
                <w:szCs w:val="20"/>
              </w:rPr>
              <w:t xml:space="preserve">Snowflake-hosted Streamlit</w:t>
            </w:r>
          </w:p>
        </w:tc>
        <w:tc>
          <w:tcPr>
            <w:tcW w:type="dxa" w:w="2300"/>
            <w:tcMar>
              <w:top w:type="dxa" w:w="50"/>
              <w:left w:type="dxa" w:w="80"/>
              <w:bottom w:type="dxa" w:w="50"/>
              <w:right w:type="dxa" w:w="80"/>
            </w:tcMar>
          </w:tcPr>
          <w:p>
            <w:pPr>
              <w:spacing w:after="0" w:line="230"/>
            </w:pPr>
            <w:r>
              <w:rPr>
                <w:rFonts w:ascii="Calibri" w:cs="Calibri" w:eastAsia="Calibri" w:hAnsi="Calibri"/>
                <w:b w:val="false"/>
                <w:bCs w:val="false"/>
                <w:sz w:val="20"/>
                <w:szCs w:val="20"/>
              </w:rPr>
              <w:t xml:space="preserve">$0 (framework)</w:t>
            </w:r>
          </w:p>
        </w:tc>
        <w:tc>
          <w:tcPr>
            <w:tcW w:type="dxa" w:w="4460"/>
            <w:tcMar>
              <w:top w:type="dxa" w:w="50"/>
              <w:left w:type="dxa" w:w="80"/>
              <w:bottom w:type="dxa" w:w="50"/>
              <w:right w:type="dxa" w:w="80"/>
            </w:tcMar>
          </w:tcPr>
          <w:p>
            <w:pPr>
              <w:spacing w:after="0" w:line="230"/>
            </w:pPr>
            <w:r>
              <w:rPr>
                <w:rFonts w:ascii="Calibri" w:cs="Calibri" w:eastAsia="Calibri" w:hAnsi="Calibri"/>
                <w:b w:val="false"/>
                <w:bCs w:val="false"/>
                <w:sz w:val="20"/>
                <w:szCs w:val="20"/>
              </w:rPr>
              <w:t xml:space="preserve">Snowflake compute credits — introduces a vendor the project does not otherwise use</w:t>
            </w:r>
          </w:p>
        </w:tc>
      </w:tr>
      <w:tr>
        <w:tc>
          <w:tcPr>
            <w:tcW w:type="dxa" w:w="2600"/>
            <w:tcMar>
              <w:top w:type="dxa" w:w="50"/>
              <w:left w:type="dxa" w:w="80"/>
              <w:bottom w:type="dxa" w:w="50"/>
              <w:right w:type="dxa" w:w="80"/>
            </w:tcMar>
          </w:tcPr>
          <w:p>
            <w:pPr>
              <w:spacing w:after="0" w:line="230"/>
            </w:pPr>
            <w:r>
              <w:rPr>
                <w:rFonts w:ascii="Calibri" w:cs="Calibri" w:eastAsia="Calibri" w:hAnsi="Calibri"/>
                <w:b/>
                <w:bCs/>
                <w:sz w:val="20"/>
                <w:szCs w:val="20"/>
              </w:rPr>
              <w:t xml:space="preserve">Google Cloud Run (current)</w:t>
            </w:r>
          </w:p>
        </w:tc>
        <w:tc>
          <w:tcPr>
            <w:tcW w:type="dxa" w:w="2300"/>
            <w:tcMar>
              <w:top w:type="dxa" w:w="50"/>
              <w:left w:type="dxa" w:w="80"/>
              <w:bottom w:type="dxa" w:w="50"/>
              <w:right w:type="dxa" w:w="80"/>
            </w:tcMar>
          </w:tcPr>
          <w:p>
            <w:pPr>
              <w:spacing w:after="0" w:line="230"/>
            </w:pPr>
            <w:r>
              <w:rPr>
                <w:rFonts w:ascii="Calibri" w:cs="Calibri" w:eastAsia="Calibri" w:hAnsi="Calibri"/>
                <w:b w:val="false"/>
                <w:bCs w:val="false"/>
                <w:sz w:val="20"/>
                <w:szCs w:val="20"/>
              </w:rPr>
              <w:t xml:space="preserve">$0</w:t>
            </w:r>
          </w:p>
        </w:tc>
        <w:tc>
          <w:tcPr>
            <w:tcW w:type="dxa" w:w="4460"/>
            <w:tcMar>
              <w:top w:type="dxa" w:w="50"/>
              <w:left w:type="dxa" w:w="80"/>
              <w:bottom w:type="dxa" w:w="50"/>
              <w:right w:type="dxa" w:w="80"/>
            </w:tcMar>
          </w:tcPr>
          <w:p>
            <w:pPr>
              <w:spacing w:after="0" w:line="230"/>
            </w:pPr>
            <w:r>
              <w:rPr>
                <w:rFonts w:ascii="Calibri" w:cs="Calibri" w:eastAsia="Calibri" w:hAnsi="Calibri"/>
                <w:b w:val="false"/>
                <w:bCs w:val="false"/>
                <w:sz w:val="20"/>
                <w:szCs w:val="20"/>
              </w:rPr>
              <w:t xml:space="preserve">Cloud Run compute + Artifact Registry storage + Cloud Build minutes</w:t>
            </w:r>
          </w:p>
        </w:tc>
      </w:tr>
    </w:tbl>
    <w:p>
      <w:pPr>
        <w:spacing w:after="200" w:line="276"/>
      </w:pPr>
      <w:r>
        <w:rPr>
          <w:rFonts w:ascii="Calibri" w:cs="Calibri" w:eastAsia="Calibri" w:hAnsi="Calibri"/>
          <w:i/>
          <w:iCs/>
          <w:color w:val="595959"/>
          <w:sz w:val="20"/>
          <w:szCs w:val="20"/>
        </w:rPr>
        <w:t xml:space="preserve">Streamlit being open source does not make it free in production. The license column is $0 in every row; the hosting column is never structurally $0 outside the free tiers. At this project's configuration — scale-to-zero, maximum 2 instances, capstone-level traffic — Cloud Run cost is plausibly within Google's Always Free allowance, with small ongoing charges for container image storage. This has not been verified against actual billing, and no billing export is configured on the project.</w:t>
      </w:r>
    </w:p>
    <w:p>
      <w:pPr>
        <w:pStyle w:val="Heading1"/>
        <w:pBdr>
          <w:bottom w:val="single" w:color="1F4E5F" w:sz="6" w:space="4"/>
        </w:pBdr>
        <w:spacing w:after="150" w:before="300"/>
      </w:pPr>
      <w:r>
        <w:rPr>
          <w:rFonts w:ascii="Calibri" w:cs="Calibri" w:eastAsia="Calibri" w:hAnsi="Calibri"/>
          <w:b/>
          <w:bCs/>
          <w:color w:val="1F4E5F"/>
          <w:sz w:val="26"/>
          <w:szCs w:val="26"/>
        </w:rPr>
        <w:t xml:space="preserve">Recommendations</w:t>
      </w:r>
    </w:p>
    <w:p>
      <w:pPr>
        <w:pStyle w:val="Heading2"/>
        <w:spacing w:after="90" w:before="220"/>
      </w:pPr>
      <w:r>
        <w:rPr>
          <w:rFonts w:ascii="Calibri" w:cs="Calibri" w:eastAsia="Calibri" w:hAnsi="Calibri"/>
          <w:b/>
          <w:bCs/>
          <w:sz w:val="23"/>
          <w:szCs w:val="23"/>
        </w:rPr>
        <w:t xml:space="preserve">From an engineering perspective</w:t>
      </w:r>
    </w:p>
    <w:p>
      <w:pPr>
        <w:spacing w:after="160" w:line="276"/>
      </w:pPr>
      <w:r>
        <w:rPr>
          <w:rFonts w:ascii="Calibri" w:cs="Calibri" w:eastAsia="Calibri" w:hAnsi="Calibri"/>
          <w:sz w:val="22"/>
          <w:szCs w:val="22"/>
        </w:rPr>
        <w:t xml:space="preserve">Stay with Streamlit. It is already built, deployed, version-controlled and integrated with the gold layer; switching now would discard working software to solve a problem the project does not have. It is also the only option in which dashboard logic is reviewable in the same pull request as the pipeline that feeds it — which matters on a project where a misread aggregate row has already produced an incorrect figure once.</w:t>
      </w:r>
    </w:p>
    <w:p>
      <w:pPr>
        <w:pStyle w:val="Heading2"/>
        <w:spacing w:after="90" w:before="220"/>
      </w:pPr>
      <w:r>
        <w:rPr>
          <w:rFonts w:ascii="Calibri" w:cs="Calibri" w:eastAsia="Calibri" w:hAnsi="Calibri"/>
          <w:b/>
          <w:bCs/>
          <w:sz w:val="23"/>
          <w:szCs w:val="23"/>
        </w:rPr>
        <w:t xml:space="preserve">From a presentation and stakeholder perspective</w:t>
      </w:r>
    </w:p>
    <w:p>
      <w:pPr>
        <w:spacing w:after="200" w:line="276"/>
      </w:pPr>
      <w:r>
        <w:rPr>
          <w:rFonts w:ascii="Calibri" w:cs="Calibri" w:eastAsia="Calibri" w:hAnsi="Calibri"/>
          <w:sz w:val="22"/>
          <w:szCs w:val="22"/>
        </w:rPr>
        <w:t xml:space="preserve">Consider Looker Studio as a parallel, low-cost deliverable. For a board presentation, near-zero maintenance and guaranteed uptime are worth more than custom logic, and it connects to the same gold table with no deployment risk on presentation day. Tableau produces the most polished result but is the only option carrying license cost, and its binary workbooks would sit outside the repository — a poor fit for a project graded in part on analytical rigour and reproducibility.</w:t>
      </w:r>
    </w:p>
    <w:p>
      <w:pPr>
        <w:pStyle w:val="Heading1"/>
        <w:pBdr>
          <w:bottom w:val="single" w:color="1F4E5F" w:sz="6" w:space="4"/>
        </w:pBdr>
        <w:spacing w:after="150" w:before="300"/>
      </w:pPr>
      <w:r>
        <w:rPr>
          <w:rFonts w:ascii="Calibri" w:cs="Calibri" w:eastAsia="Calibri" w:hAnsi="Calibri"/>
          <w:b/>
          <w:bCs/>
          <w:color w:val="1F4E5F"/>
          <w:sz w:val="26"/>
          <w:szCs w:val="26"/>
        </w:rPr>
        <w:t xml:space="preserve">Conclusion</w:t>
      </w:r>
    </w:p>
    <w:p>
      <w:pPr>
        <w:spacing w:after="120" w:line="276"/>
      </w:pPr>
      <w:r>
        <w:rPr>
          <w:rFonts w:ascii="Calibri" w:cs="Calibri" w:eastAsia="Calibri" w:hAnsi="Calibri"/>
          <w:sz w:val="22"/>
          <w:szCs w:val="22"/>
        </w:rPr>
        <w:t xml:space="preserve">All three tools are acceptable; the decision should turn on priorities rather than capability. Every one of them can serve a 543-row gold table competently — this is not a scale problem.</w:t>
      </w:r>
    </w:p>
    <w:p>
      <w:pPr>
        <w:pStyle w:val="ListParagraph"/>
        <w:numPr>
          <w:ilvl w:val="0"/>
          <w:numId w:val="2"/>
        </w:numPr>
        <w:spacing w:after="90" w:line="276"/>
      </w:pPr>
      <w:r>
        <w:rPr>
          <w:rFonts w:ascii="Calibri" w:cs="Calibri" w:eastAsia="Calibri" w:hAnsi="Calibri"/>
          <w:b/>
          <w:bCs/>
          <w:sz w:val="22"/>
          <w:szCs w:val="22"/>
        </w:rPr>
        <w:t xml:space="preserve">Priority is engineering rigour and reproducibility → Streamlit. </w:t>
      </w:r>
      <w:r>
        <w:rPr>
          <w:rFonts w:ascii="Calibri" w:cs="Calibri" w:eastAsia="Calibri" w:hAnsi="Calibri"/>
          <w:sz w:val="22"/>
          <w:szCs w:val="22"/>
        </w:rPr>
        <w:t xml:space="preserve">Already delivered; the sunk investment is real value.</w:t>
      </w:r>
    </w:p>
    <w:p>
      <w:pPr>
        <w:pStyle w:val="ListParagraph"/>
        <w:numPr>
          <w:ilvl w:val="0"/>
          <w:numId w:val="2"/>
        </w:numPr>
        <w:spacing w:after="90" w:line="276"/>
      </w:pPr>
      <w:r>
        <w:rPr>
          <w:rFonts w:ascii="Calibri" w:cs="Calibri" w:eastAsia="Calibri" w:hAnsi="Calibri"/>
          <w:b/>
          <w:bCs/>
          <w:sz w:val="22"/>
          <w:szCs w:val="22"/>
        </w:rPr>
        <w:t xml:space="preserve">Priority is zero maintenance and presentation-day reliability → Looker Studio. </w:t>
      </w:r>
      <w:r>
        <w:rPr>
          <w:rFonts w:ascii="Calibri" w:cs="Calibri" w:eastAsia="Calibri" w:hAnsi="Calibri"/>
          <w:sz w:val="22"/>
          <w:szCs w:val="22"/>
        </w:rPr>
        <w:t xml:space="preserve">Free, fully hosted, same IAM and same gold table.</w:t>
      </w:r>
    </w:p>
    <w:p>
      <w:pPr>
        <w:pStyle w:val="ListParagraph"/>
        <w:numPr>
          <w:ilvl w:val="0"/>
          <w:numId w:val="2"/>
        </w:numPr>
        <w:spacing w:after="140" w:line="276"/>
      </w:pPr>
      <w:r>
        <w:rPr>
          <w:rFonts w:ascii="Calibri" w:cs="Calibri" w:eastAsia="Calibri" w:hAnsi="Calibri"/>
          <w:b/>
          <w:bCs/>
          <w:sz w:val="22"/>
          <w:szCs w:val="22"/>
        </w:rPr>
        <w:t xml:space="preserve">Priority is maximum visual polish with budget available → Tableau. </w:t>
      </w:r>
      <w:r>
        <w:rPr>
          <w:rFonts w:ascii="Calibri" w:cs="Calibri" w:eastAsia="Calibri" w:hAnsi="Calibri"/>
          <w:sz w:val="22"/>
          <w:szCs w:val="22"/>
        </w:rPr>
        <w:t xml:space="preserve">The only option with unavoidable license cost.</w:t>
      </w:r>
    </w:p>
    <w:p>
      <w:pPr>
        <w:spacing w:after="200" w:line="276"/>
      </w:pPr>
      <w:r>
        <w:rPr>
          <w:rFonts w:ascii="Calibri" w:cs="Calibri" w:eastAsia="Calibri" w:hAnsi="Calibri"/>
          <w:b/>
          <w:bCs/>
          <w:sz w:val="22"/>
          <w:szCs w:val="22"/>
        </w:rPr>
        <w:t xml:space="preserve">The pragmatic path is Streamlit as the primary deliverable, with a Looker Studio view built on the same gold table as a low-cost hedge. That costs a few hours of work, adds no license, and removes a single point of failure from the final presentation.</w:t>
      </w:r>
    </w:p>
    <w:p>
      <w:pPr>
        <w:pStyle w:val="Heading1"/>
        <w:pBdr>
          <w:bottom w:val="single" w:color="1F4E5F" w:sz="6" w:space="4"/>
        </w:pBdr>
        <w:spacing w:after="150" w:before="300"/>
      </w:pPr>
      <w:r>
        <w:rPr>
          <w:rFonts w:ascii="Calibri" w:cs="Calibri" w:eastAsia="Calibri" w:hAnsi="Calibri"/>
          <w:b/>
          <w:bCs/>
          <w:color w:val="1F4E5F"/>
          <w:sz w:val="26"/>
          <w:szCs w:val="26"/>
        </w:rPr>
        <w:t xml:space="preserve">Facts requiring verification</w:t>
      </w:r>
    </w:p>
    <w:p>
      <w:pPr>
        <w:pStyle w:val="ListParagraph"/>
        <w:numPr>
          <w:ilvl w:val="0"/>
          <w:numId w:val="2"/>
        </w:numPr>
        <w:spacing w:after="90" w:line="276"/>
      </w:pPr>
      <w:r>
        <w:rPr>
          <w:rFonts w:ascii="Calibri" w:cs="Calibri" w:eastAsia="Calibri" w:hAnsi="Calibri"/>
          <w:sz w:val="22"/>
          <w:szCs w:val="22"/>
        </w:rPr>
        <w:t xml:space="preserve">The missing prior comparison — the Tableau and Looker Studio assessments here are new analysis, not the team's earlier findings.</w:t>
      </w:r>
    </w:p>
    <w:p>
      <w:pPr>
        <w:pStyle w:val="ListParagraph"/>
        <w:numPr>
          <w:ilvl w:val="0"/>
          <w:numId w:val="2"/>
        </w:numPr>
        <w:spacing w:after="90" w:line="276"/>
      </w:pPr>
      <w:r>
        <w:rPr>
          <w:rFonts w:ascii="Calibri" w:cs="Calibri" w:eastAsia="Calibri" w:hAnsi="Calibri"/>
          <w:sz w:val="22"/>
          <w:szCs w:val="22"/>
        </w:rPr>
        <w:t xml:space="preserve">All vendor pricing — Tableau per-user rates, Looker Studio Pro, Snowflake credit rates and current Google Cloud rates. No network access to pricing pages was available, and no dollar figures have been quoted.</w:t>
      </w:r>
    </w:p>
    <w:p>
      <w:pPr>
        <w:pStyle w:val="ListParagraph"/>
        <w:numPr>
          <w:ilvl w:val="0"/>
          <w:numId w:val="2"/>
        </w:numPr>
        <w:spacing w:after="90" w:line="276"/>
      </w:pPr>
      <w:r>
        <w:rPr>
          <w:rFonts w:ascii="Calibri" w:cs="Calibri" w:eastAsia="Calibri" w:hAnsi="Calibri"/>
          <w:sz w:val="22"/>
          <w:szCs w:val="22"/>
        </w:rPr>
        <w:t xml:space="preserve">Actual Google Cloud spend to date — no billing export is configured, so the "likely within free tier" assessment is unverified.</w:t>
      </w:r>
    </w:p>
    <w:p>
      <w:pPr>
        <w:pStyle w:val="ListParagraph"/>
        <w:numPr>
          <w:ilvl w:val="0"/>
          <w:numId w:val="2"/>
        </w:numPr>
        <w:spacing w:after="90" w:line="276"/>
      </w:pPr>
      <w:r>
        <w:rPr>
          <w:rFonts w:ascii="Calibri" w:cs="Calibri" w:eastAsia="Calibri" w:hAnsi="Calibri"/>
          <w:sz w:val="22"/>
          <w:szCs w:val="22"/>
        </w:rPr>
        <w:t xml:space="preserve">Streamlit Community Cloud terms — resource limits and the public-application requirement should be checked against current policy before being treated as viable.</w:t>
      </w:r>
    </w:p>
    <w:p>
      <w:pPr>
        <w:pStyle w:val="ListParagraph"/>
        <w:numPr>
          <w:ilvl w:val="0"/>
          <w:numId w:val="2"/>
        </w:numPr>
        <w:spacing w:after="90" w:line="276"/>
      </w:pPr>
      <w:r>
        <w:rPr>
          <w:rFonts w:ascii="Calibri" w:cs="Calibri" w:eastAsia="Calibri" w:hAnsi="Calibri"/>
          <w:sz w:val="22"/>
          <w:szCs w:val="22"/>
        </w:rPr>
        <w:t xml:space="preserve">Live dashboard reachability — *.run.app is blocked by this build environment's egress policy, so the deployed application has never been confirmed loading in a browser.</w:t>
      </w:r>
    </w:p>
    <w:p>
      <w:pPr>
        <w:sectPr>
          <w:pgSz w:w="12240" w:h="15840" w:orient="portrait"/>
          <w:pgMar w:top="1440" w:right="1440" w:bottom="1440" w:left="1440" w:header="708" w:footer="708" w:gutter="0"/>
          <w:pgNumType/>
          <w:docGrid w:linePitch="360"/>
        </w:sectPr>
      </w:pPr>
    </w:p>
    <w:p>
      <w:pPr>
        <w:spacing w:after="120"/>
      </w:pPr>
      <w:r>
        <w:rPr>
          <w:rFonts w:ascii="Calibri" w:cs="Calibri" w:eastAsia="Calibri" w:hAnsi="Calibri"/>
          <w:b/>
          <w:bCs/>
          <w:color w:val="1F4E5F"/>
          <w:sz w:val="26"/>
          <w:szCs w:val="26"/>
        </w:rPr>
        <w:t xml:space="preserve">Appendix — side-by-side comparison</w:t>
      </w:r>
    </w:p>
    <w:p>
      <w:pPr>
        <w:spacing w:after="150" w:line="276"/>
      </w:pPr>
      <w:r>
        <w:rPr>
          <w:rFonts w:ascii="Calibri" w:cs="Calibri" w:eastAsia="Calibri" w:hAnsi="Calibri"/>
          <w:color w:val="595959"/>
          <w:sz w:val="18"/>
          <w:szCs w:val="18"/>
        </w:rPr>
        <w:t xml:space="preserve">Streamlit ratings reflect the deployed application; Tableau and Looker Studio ratings are analytical assessments pending the team's prior findings.</w:t>
      </w:r>
    </w:p>
    <w:tbl>
      <w:tblPr>
        <w:tblW w:type="dxa" w:w="12960"/>
        <w:tblBorders>
          <w:top w:val="single" w:color="BFBFBF" w:sz="4"/>
          <w:left w:val="none"/>
          <w:bottom w:val="single" w:color="BFBFBF" w:sz="4"/>
          <w:right w:val="none"/>
          <w:insideH w:val="single" w:color="D9D9D9" w:sz="2"/>
          <w:insideV w:val="none"/>
        </w:tblBorders>
      </w:tblPr>
      <w:tblGrid>
        <w:gridCol w:w="1100"/>
        <w:gridCol w:w="1500"/>
        <w:gridCol w:w="1500"/>
        <w:gridCol w:w="1450"/>
        <w:gridCol w:w="1450"/>
        <w:gridCol w:w="1300"/>
        <w:gridCol w:w="1600"/>
        <w:gridCol w:w="1500"/>
        <w:gridCol w:w="1560"/>
      </w:tblGrid>
      <w:tr>
        <w:trPr>
          <w:tblHeader/>
        </w:trPr>
        <w:tc>
          <w:tcPr>
            <w:tcW w:type="dxa" w:w="1100"/>
            <w:shd w:fill="E8EEF1" w:color="auto" w:val="clear"/>
            <w:tcMar>
              <w:top w:type="dxa" w:w="50"/>
              <w:left w:type="dxa" w:w="80"/>
              <w:bottom w:type="dxa" w:w="50"/>
              <w:right w:type="dxa" w:w="80"/>
            </w:tcMar>
          </w:tcPr>
          <w:p>
            <w:pPr>
              <w:spacing w:after="0" w:line="230"/>
            </w:pPr>
            <w:r>
              <w:rPr>
                <w:rFonts w:ascii="Calibri" w:cs="Calibri" w:eastAsia="Calibri" w:hAnsi="Calibri"/>
                <w:b/>
                <w:bCs/>
                <w:sz w:val="16"/>
                <w:szCs w:val="16"/>
              </w:rPr>
              <w:t xml:space="preserve">Tool</w:t>
            </w:r>
          </w:p>
        </w:tc>
        <w:tc>
          <w:tcPr>
            <w:tcW w:type="dxa" w:w="1500"/>
            <w:shd w:fill="E8EEF1" w:color="auto" w:val="clear"/>
            <w:tcMar>
              <w:top w:type="dxa" w:w="50"/>
              <w:left w:type="dxa" w:w="80"/>
              <w:bottom w:type="dxa" w:w="50"/>
              <w:right w:type="dxa" w:w="80"/>
            </w:tcMar>
          </w:tcPr>
          <w:p>
            <w:pPr>
              <w:spacing w:after="0" w:line="230"/>
            </w:pPr>
            <w:r>
              <w:rPr>
                <w:rFonts w:ascii="Calibri" w:cs="Calibri" w:eastAsia="Calibri" w:hAnsi="Calibri"/>
                <w:b/>
                <w:bCs/>
                <w:sz w:val="16"/>
                <w:szCs w:val="16"/>
              </w:rPr>
              <w:t xml:space="preserve">Best use</w:t>
            </w:r>
          </w:p>
        </w:tc>
        <w:tc>
          <w:tcPr>
            <w:tcW w:type="dxa" w:w="1500"/>
            <w:shd w:fill="E8EEF1" w:color="auto" w:val="clear"/>
            <w:tcMar>
              <w:top w:type="dxa" w:w="50"/>
              <w:left w:type="dxa" w:w="80"/>
              <w:bottom w:type="dxa" w:w="50"/>
              <w:right w:type="dxa" w:w="80"/>
            </w:tcMar>
          </w:tcPr>
          <w:p>
            <w:pPr>
              <w:spacing w:after="0" w:line="230"/>
            </w:pPr>
            <w:r>
              <w:rPr>
                <w:rFonts w:ascii="Calibri" w:cs="Calibri" w:eastAsia="Calibri" w:hAnsi="Calibri"/>
                <w:b/>
                <w:bCs/>
                <w:sz w:val="16"/>
                <w:szCs w:val="16"/>
              </w:rPr>
              <w:t xml:space="preserve">Pipeline fit</w:t>
            </w:r>
          </w:p>
        </w:tc>
        <w:tc>
          <w:tcPr>
            <w:tcW w:type="dxa" w:w="1450"/>
            <w:shd w:fill="E8EEF1" w:color="auto" w:val="clear"/>
            <w:tcMar>
              <w:top w:type="dxa" w:w="50"/>
              <w:left w:type="dxa" w:w="80"/>
              <w:bottom w:type="dxa" w:w="50"/>
              <w:right w:type="dxa" w:w="80"/>
            </w:tcMar>
          </w:tcPr>
          <w:p>
            <w:pPr>
              <w:spacing w:after="0" w:line="230"/>
            </w:pPr>
            <w:r>
              <w:rPr>
                <w:rFonts w:ascii="Calibri" w:cs="Calibri" w:eastAsia="Calibri" w:hAnsi="Calibri"/>
                <w:b/>
                <w:bCs/>
                <w:sz w:val="16"/>
                <w:szCs w:val="16"/>
              </w:rPr>
              <w:t xml:space="preserve">Engineering effort</w:t>
            </w:r>
          </w:p>
        </w:tc>
        <w:tc>
          <w:tcPr>
            <w:tcW w:type="dxa" w:w="1450"/>
            <w:shd w:fill="E8EEF1" w:color="auto" w:val="clear"/>
            <w:tcMar>
              <w:top w:type="dxa" w:w="50"/>
              <w:left w:type="dxa" w:w="80"/>
              <w:bottom w:type="dxa" w:w="50"/>
              <w:right w:type="dxa" w:w="80"/>
            </w:tcMar>
          </w:tcPr>
          <w:p>
            <w:pPr>
              <w:spacing w:after="0" w:line="230"/>
            </w:pPr>
            <w:r>
              <w:rPr>
                <w:rFonts w:ascii="Calibri" w:cs="Calibri" w:eastAsia="Calibri" w:hAnsi="Calibri"/>
                <w:b/>
                <w:bCs/>
                <w:sz w:val="16"/>
                <w:szCs w:val="16"/>
              </w:rPr>
              <w:t xml:space="preserve">Collaboration</w:t>
            </w:r>
          </w:p>
        </w:tc>
        <w:tc>
          <w:tcPr>
            <w:tcW w:type="dxa" w:w="1300"/>
            <w:shd w:fill="E8EEF1" w:color="auto" w:val="clear"/>
            <w:tcMar>
              <w:top w:type="dxa" w:w="50"/>
              <w:left w:type="dxa" w:w="80"/>
              <w:bottom w:type="dxa" w:w="50"/>
              <w:right w:type="dxa" w:w="80"/>
            </w:tcMar>
          </w:tcPr>
          <w:p>
            <w:pPr>
              <w:spacing w:after="0" w:line="230"/>
            </w:pPr>
            <w:r>
              <w:rPr>
                <w:rFonts w:ascii="Calibri" w:cs="Calibri" w:eastAsia="Calibri" w:hAnsi="Calibri"/>
                <w:b/>
                <w:bCs/>
                <w:sz w:val="16"/>
                <w:szCs w:val="16"/>
              </w:rPr>
              <w:t xml:space="preserve">Visual quality</w:t>
            </w:r>
          </w:p>
        </w:tc>
        <w:tc>
          <w:tcPr>
            <w:tcW w:type="dxa" w:w="1600"/>
            <w:shd w:fill="E8EEF1" w:color="auto" w:val="clear"/>
            <w:tcMar>
              <w:top w:type="dxa" w:w="50"/>
              <w:left w:type="dxa" w:w="80"/>
              <w:bottom w:type="dxa" w:w="50"/>
              <w:right w:type="dxa" w:w="80"/>
            </w:tcMar>
          </w:tcPr>
          <w:p>
            <w:pPr>
              <w:spacing w:after="0" w:line="230"/>
            </w:pPr>
            <w:r>
              <w:rPr>
                <w:rFonts w:ascii="Calibri" w:cs="Calibri" w:eastAsia="Calibri" w:hAnsi="Calibri"/>
                <w:b/>
                <w:bCs/>
                <w:sz w:val="16"/>
                <w:szCs w:val="16"/>
              </w:rPr>
              <w:t xml:space="preserve">Hosting requirements</w:t>
            </w:r>
          </w:p>
        </w:tc>
        <w:tc>
          <w:tcPr>
            <w:tcW w:type="dxa" w:w="1500"/>
            <w:shd w:fill="E8EEF1" w:color="auto" w:val="clear"/>
            <w:tcMar>
              <w:top w:type="dxa" w:w="50"/>
              <w:left w:type="dxa" w:w="80"/>
              <w:bottom w:type="dxa" w:w="50"/>
              <w:right w:type="dxa" w:w="80"/>
            </w:tcMar>
          </w:tcPr>
          <w:p>
            <w:pPr>
              <w:spacing w:after="0" w:line="230"/>
            </w:pPr>
            <w:r>
              <w:rPr>
                <w:rFonts w:ascii="Calibri" w:cs="Calibri" w:eastAsia="Calibri" w:hAnsi="Calibri"/>
                <w:b/>
                <w:bCs/>
                <w:sz w:val="16"/>
                <w:szCs w:val="16"/>
              </w:rPr>
              <w:t xml:space="preserve">Estimated cost</w:t>
            </w:r>
          </w:p>
        </w:tc>
        <w:tc>
          <w:tcPr>
            <w:tcW w:type="dxa" w:w="1560"/>
            <w:shd w:fill="E8EEF1" w:color="auto" w:val="clear"/>
            <w:tcMar>
              <w:top w:type="dxa" w:w="50"/>
              <w:left w:type="dxa" w:w="80"/>
              <w:bottom w:type="dxa" w:w="50"/>
              <w:right w:type="dxa" w:w="80"/>
            </w:tcMar>
          </w:tcPr>
          <w:p>
            <w:pPr>
              <w:spacing w:after="0" w:line="230"/>
            </w:pPr>
            <w:r>
              <w:rPr>
                <w:rFonts w:ascii="Calibri" w:cs="Calibri" w:eastAsia="Calibri" w:hAnsi="Calibri"/>
                <w:b/>
                <w:bCs/>
                <w:sz w:val="16"/>
                <w:szCs w:val="16"/>
              </w:rPr>
              <w:t xml:space="preserve">Main limitation</w:t>
            </w:r>
          </w:p>
        </w:tc>
      </w:tr>
      <w:tr>
        <w:tc>
          <w:tcPr>
            <w:tcW w:type="dxa" w:w="1100"/>
            <w:tcMar>
              <w:top w:type="dxa" w:w="50"/>
              <w:left w:type="dxa" w:w="80"/>
              <w:bottom w:type="dxa" w:w="50"/>
              <w:right w:type="dxa" w:w="80"/>
            </w:tcMar>
          </w:tcPr>
          <w:p>
            <w:pPr>
              <w:spacing w:after="0" w:line="230"/>
            </w:pPr>
            <w:r>
              <w:rPr>
                <w:rFonts w:ascii="Calibri" w:cs="Calibri" w:eastAsia="Calibri" w:hAnsi="Calibri"/>
                <w:b/>
                <w:bCs/>
                <w:sz w:val="16"/>
                <w:szCs w:val="16"/>
              </w:rPr>
              <w:t xml:space="preserve">Tableau</w:t>
            </w:r>
          </w:p>
        </w:tc>
        <w:tc>
          <w:tcPr>
            <w:tcW w:type="dxa" w:w="150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Executive-facing BI and rich exploratory analysis</w:t>
            </w:r>
          </w:p>
        </w:tc>
        <w:tc>
          <w:tcPr>
            <w:tcW w:type="dxa" w:w="150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Native BigQuery connector; no Python reuse</w:t>
            </w:r>
          </w:p>
        </w:tc>
        <w:tc>
          <w:tcPr>
            <w:tcW w:type="dxa" w:w="145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Low to moderate; GUI-driven, no code</w:t>
            </w:r>
          </w:p>
        </w:tc>
        <w:tc>
          <w:tcPr>
            <w:tcW w:type="dxa" w:w="145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Weak — workbooks are binary, poor Git diffs</w:t>
            </w:r>
          </w:p>
        </w:tc>
        <w:tc>
          <w:tcPr>
            <w:tcW w:type="dxa" w:w="130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Highest polish out of the box</w:t>
            </w:r>
          </w:p>
        </w:tc>
        <w:tc>
          <w:tcPr>
            <w:tcW w:type="dxa" w:w="160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Vendor-hosted (Tableau Cloud) or self-hosted Server</w:t>
            </w:r>
          </w:p>
        </w:tc>
        <w:tc>
          <w:tcPr>
            <w:tcW w:type="dxa" w:w="150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Per-user subscription license (verify current rates)</w:t>
            </w:r>
          </w:p>
        </w:tc>
        <w:tc>
          <w:tcPr>
            <w:tcW w:type="dxa" w:w="156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License cost; analysis logic sits outside the repository</w:t>
            </w:r>
          </w:p>
        </w:tc>
      </w:tr>
      <w:tr>
        <w:tc>
          <w:tcPr>
            <w:tcW w:type="dxa" w:w="1100"/>
            <w:tcMar>
              <w:top w:type="dxa" w:w="50"/>
              <w:left w:type="dxa" w:w="80"/>
              <w:bottom w:type="dxa" w:w="50"/>
              <w:right w:type="dxa" w:w="80"/>
            </w:tcMar>
          </w:tcPr>
          <w:p>
            <w:pPr>
              <w:spacing w:after="0" w:line="230"/>
            </w:pPr>
            <w:r>
              <w:rPr>
                <w:rFonts w:ascii="Calibri" w:cs="Calibri" w:eastAsia="Calibri" w:hAnsi="Calibri"/>
                <w:b/>
                <w:bCs/>
                <w:sz w:val="16"/>
                <w:szCs w:val="16"/>
              </w:rPr>
              <w:t xml:space="preserve">Looker Studio</w:t>
            </w:r>
          </w:p>
        </w:tc>
        <w:tc>
          <w:tcPr>
            <w:tcW w:type="dxa" w:w="150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Fast, free dashboards over Google-resident data</w:t>
            </w:r>
          </w:p>
        </w:tc>
        <w:tc>
          <w:tcPr>
            <w:tcW w:type="dxa" w:w="150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Native BigQuery connector; same GCP project and IAM</w:t>
            </w:r>
          </w:p>
        </w:tc>
        <w:tc>
          <w:tcPr>
            <w:tcW w:type="dxa" w:w="145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Lowest; browser-only, no deployment</w:t>
            </w:r>
          </w:p>
        </w:tc>
        <w:tc>
          <w:tcPr>
            <w:tcW w:type="dxa" w:w="145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Google-Docs-style sharing; not Git-versioned</w:t>
            </w:r>
          </w:p>
        </w:tc>
        <w:tc>
          <w:tcPr>
            <w:tcW w:type="dxa" w:w="130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Good; templated, limited custom visuals</w:t>
            </w:r>
          </w:p>
        </w:tc>
        <w:tc>
          <w:tcPr>
            <w:tcW w:type="dxa" w:w="160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Fully Google-hosted; nothing to deploy</w:t>
            </w:r>
          </w:p>
        </w:tc>
        <w:tc>
          <w:tcPr>
            <w:tcW w:type="dxa" w:w="150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Free at standard tier; Pro tier paid (verify)</w:t>
            </w:r>
          </w:p>
        </w:tc>
        <w:tc>
          <w:tcPr>
            <w:tcW w:type="dxa" w:w="1560"/>
            <w:tcMar>
              <w:top w:type="dxa" w:w="50"/>
              <w:left w:type="dxa" w:w="80"/>
              <w:bottom w:type="dxa" w:w="50"/>
              <w:right w:type="dxa" w:w="80"/>
            </w:tcMar>
          </w:tcPr>
          <w:p>
            <w:pPr>
              <w:spacing w:after="0" w:line="230"/>
            </w:pPr>
            <w:r>
              <w:rPr>
                <w:rFonts w:ascii="Calibri" w:cs="Calibri" w:eastAsia="Calibri" w:hAnsi="Calibri"/>
                <w:b w:val="false"/>
                <w:bCs w:val="false"/>
                <w:sz w:val="16"/>
                <w:szCs w:val="16"/>
              </w:rPr>
              <w:t xml:space="preserve">Limited custom logic; no Python reuse</w:t>
            </w:r>
          </w:p>
        </w:tc>
      </w:tr>
      <w:tr>
        <w:tc>
          <w:tcPr>
            <w:tcW w:type="dxa" w:w="1100"/>
            <w:tcMar>
              <w:top w:type="dxa" w:w="50"/>
              <w:left w:type="dxa" w:w="80"/>
              <w:bottom w:type="dxa" w:w="50"/>
              <w:right w:type="dxa" w:w="80"/>
            </w:tcMar>
          </w:tcPr>
          <w:p>
            <w:pPr>
              <w:spacing w:after="0" w:line="230"/>
            </w:pPr>
            <w:r>
              <w:rPr>
                <w:rFonts w:ascii="Calibri" w:cs="Calibri" w:eastAsia="Calibri" w:hAnsi="Calibri"/>
                <w:b/>
                <w:bCs/>
                <w:color w:val="1F4E5F"/>
                <w:sz w:val="16"/>
                <w:szCs w:val="16"/>
              </w:rPr>
              <w:t xml:space="preserve">Streamlit</w:t>
            </w:r>
          </w:p>
        </w:tc>
        <w:tc>
          <w:tcPr>
            <w:tcW w:type="dxa" w:w="1500"/>
            <w:tcMar>
              <w:top w:type="dxa" w:w="50"/>
              <w:left w:type="dxa" w:w="80"/>
              <w:bottom w:type="dxa" w:w="50"/>
              <w:right w:type="dxa" w:w="80"/>
            </w:tcMar>
          </w:tcPr>
          <w:p>
            <w:pPr>
              <w:spacing w:after="0" w:line="230"/>
            </w:pPr>
            <w:r>
              <w:rPr>
                <w:rFonts w:ascii="Calibri" w:cs="Calibri" w:eastAsia="Calibri" w:hAnsi="Calibri"/>
                <w:b w:val="false"/>
                <w:bCs w:val="false"/>
                <w:color w:val="1F4E5F"/>
                <w:sz w:val="16"/>
                <w:szCs w:val="16"/>
              </w:rPr>
              <w:t xml:space="preserve">Analyst-built applications with custom Python logic</w:t>
            </w:r>
          </w:p>
        </w:tc>
        <w:tc>
          <w:tcPr>
            <w:tcW w:type="dxa" w:w="1500"/>
            <w:tcMar>
              <w:top w:type="dxa" w:w="50"/>
              <w:left w:type="dxa" w:w="80"/>
              <w:bottom w:type="dxa" w:w="50"/>
              <w:right w:type="dxa" w:w="80"/>
            </w:tcMar>
          </w:tcPr>
          <w:p>
            <w:pPr>
              <w:spacing w:after="0" w:line="230"/>
            </w:pPr>
            <w:r>
              <w:rPr>
                <w:rFonts w:ascii="Calibri" w:cs="Calibri" w:eastAsia="Calibri" w:hAnsi="Calibri"/>
                <w:b w:val="false"/>
                <w:bCs w:val="false"/>
                <w:color w:val="1F4E5F"/>
                <w:sz w:val="16"/>
                <w:szCs w:val="16"/>
              </w:rPr>
              <w:t xml:space="preserve">Already integrated — same repo, same SA, Cloud Run</w:t>
            </w:r>
          </w:p>
        </w:tc>
        <w:tc>
          <w:tcPr>
            <w:tcW w:type="dxa" w:w="1450"/>
            <w:tcMar>
              <w:top w:type="dxa" w:w="50"/>
              <w:left w:type="dxa" w:w="80"/>
              <w:bottom w:type="dxa" w:w="50"/>
              <w:right w:type="dxa" w:w="80"/>
            </w:tcMar>
          </w:tcPr>
          <w:p>
            <w:pPr>
              <w:spacing w:after="0" w:line="230"/>
            </w:pPr>
            <w:r>
              <w:rPr>
                <w:rFonts w:ascii="Calibri" w:cs="Calibri" w:eastAsia="Calibri" w:hAnsi="Calibri"/>
                <w:b w:val="false"/>
                <w:bCs w:val="false"/>
                <w:color w:val="1F4E5F"/>
                <w:sz w:val="16"/>
                <w:szCs w:val="16"/>
              </w:rPr>
              <w:t xml:space="preserve">Highest; team owns app code, container and deployment</w:t>
            </w:r>
          </w:p>
        </w:tc>
        <w:tc>
          <w:tcPr>
            <w:tcW w:type="dxa" w:w="1450"/>
            <w:tcMar>
              <w:top w:type="dxa" w:w="50"/>
              <w:left w:type="dxa" w:w="80"/>
              <w:bottom w:type="dxa" w:w="50"/>
              <w:right w:type="dxa" w:w="80"/>
            </w:tcMar>
          </w:tcPr>
          <w:p>
            <w:pPr>
              <w:spacing w:after="0" w:line="230"/>
            </w:pPr>
            <w:r>
              <w:rPr>
                <w:rFonts w:ascii="Calibri" w:cs="Calibri" w:eastAsia="Calibri" w:hAnsi="Calibri"/>
                <w:b w:val="false"/>
                <w:bCs w:val="false"/>
                <w:color w:val="1F4E5F"/>
                <w:sz w:val="16"/>
                <w:szCs w:val="16"/>
              </w:rPr>
              <w:t xml:space="preserve">Strongest — plain .py in Git, full PR review</w:t>
            </w:r>
          </w:p>
        </w:tc>
        <w:tc>
          <w:tcPr>
            <w:tcW w:type="dxa" w:w="1300"/>
            <w:tcMar>
              <w:top w:type="dxa" w:w="50"/>
              <w:left w:type="dxa" w:w="80"/>
              <w:bottom w:type="dxa" w:w="50"/>
              <w:right w:type="dxa" w:w="80"/>
            </w:tcMar>
          </w:tcPr>
          <w:p>
            <w:pPr>
              <w:spacing w:after="0" w:line="230"/>
            </w:pPr>
            <w:r>
              <w:rPr>
                <w:rFonts w:ascii="Calibri" w:cs="Calibri" w:eastAsia="Calibri" w:hAnsi="Calibri"/>
                <w:b w:val="false"/>
                <w:bCs w:val="false"/>
                <w:color w:val="1F4E5F"/>
                <w:sz w:val="16"/>
                <w:szCs w:val="16"/>
              </w:rPr>
              <w:t xml:space="preserve">Good; requires deliberate design effort</w:t>
            </w:r>
          </w:p>
        </w:tc>
        <w:tc>
          <w:tcPr>
            <w:tcW w:type="dxa" w:w="1600"/>
            <w:tcMar>
              <w:top w:type="dxa" w:w="50"/>
              <w:left w:type="dxa" w:w="80"/>
              <w:bottom w:type="dxa" w:w="50"/>
              <w:right w:type="dxa" w:w="80"/>
            </w:tcMar>
          </w:tcPr>
          <w:p>
            <w:pPr>
              <w:spacing w:after="0" w:line="230"/>
            </w:pPr>
            <w:r>
              <w:rPr>
                <w:rFonts w:ascii="Calibri" w:cs="Calibri" w:eastAsia="Calibri" w:hAnsi="Calibri"/>
                <w:b w:val="false"/>
                <w:bCs w:val="false"/>
                <w:color w:val="1F4E5F"/>
                <w:sz w:val="16"/>
                <w:szCs w:val="16"/>
              </w:rPr>
              <w:t xml:space="preserve">Requires a host: Community Cloud, Snowflake or Cloud Run</w:t>
            </w:r>
          </w:p>
        </w:tc>
        <w:tc>
          <w:tcPr>
            <w:tcW w:type="dxa" w:w="1500"/>
            <w:tcMar>
              <w:top w:type="dxa" w:w="50"/>
              <w:left w:type="dxa" w:w="80"/>
              <w:bottom w:type="dxa" w:w="50"/>
              <w:right w:type="dxa" w:w="80"/>
            </w:tcMar>
          </w:tcPr>
          <w:p>
            <w:pPr>
              <w:spacing w:after="0" w:line="230"/>
            </w:pPr>
            <w:r>
              <w:rPr>
                <w:rFonts w:ascii="Calibri" w:cs="Calibri" w:eastAsia="Calibri" w:hAnsi="Calibri"/>
                <w:b w:val="false"/>
                <w:bCs w:val="false"/>
                <w:color w:val="1F4E5F"/>
                <w:sz w:val="16"/>
                <w:szCs w:val="16"/>
              </w:rPr>
              <w:t xml:space="preserve">Framework free; hosting is not (see cost table)</w:t>
            </w:r>
          </w:p>
        </w:tc>
        <w:tc>
          <w:tcPr>
            <w:tcW w:type="dxa" w:w="1560"/>
            <w:tcMar>
              <w:top w:type="dxa" w:w="50"/>
              <w:left w:type="dxa" w:w="80"/>
              <w:bottom w:type="dxa" w:w="50"/>
              <w:right w:type="dxa" w:w="80"/>
            </w:tcMar>
          </w:tcPr>
          <w:p>
            <w:pPr>
              <w:spacing w:after="0" w:line="230"/>
            </w:pPr>
            <w:r>
              <w:rPr>
                <w:rFonts w:ascii="Calibri" w:cs="Calibri" w:eastAsia="Calibri" w:hAnsi="Calibri"/>
                <w:b w:val="false"/>
                <w:bCs w:val="false"/>
                <w:color w:val="1F4E5F"/>
                <w:sz w:val="16"/>
                <w:szCs w:val="16"/>
              </w:rPr>
              <w:t xml:space="preserve">Team owns uptime, deployment and debugging</w:t>
            </w:r>
          </w:p>
        </w:tc>
      </w:tr>
    </w:tbl>
    <w:sectPr>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2026-08-14T03:08:55.051Z</dcterms:created>
  <dcterms:modified xsi:type="dcterms:W3CDTF">2026-08-14T03:08:55.051Z</dcterms:modified>
</cp:coreProperties>
</file>

<file path=docProps/custom.xml><?xml version="1.0" encoding="utf-8"?>
<Properties xmlns="http://schemas.openxmlformats.org/officeDocument/2006/custom-properties" xmlns:vt="http://schemas.openxmlformats.org/officeDocument/2006/docPropsVTypes"/>
</file>