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5F"/>
          <w:sz w:val="36"/>
          <w:szCs w:val="36"/>
        </w:rPr>
        <w:t xml:space="preserve">EU End-of-Life Vehicle Recycling — Talking Points</w:t>
      </w:r>
    </w:p>
    <w:p>
      <w:pPr>
        <w:spacing w:after="40" w:line="276"/>
      </w:pPr>
      <w:r>
        <w:rPr>
          <w:rFonts w:ascii="Calibri" w:cs="Calibri" w:eastAsia="Calibri" w:hAnsi="Calibri"/>
          <w:color w:val="595959"/>
          <w:sz w:val="20"/>
          <w:szCs w:val="20"/>
        </w:rPr>
        <w:t xml:space="preserve">Source: Eurostat env_waselvt and env_waselv (deregistration / end-of-life vehicle statistics), 2005–2023</w:t>
      </w:r>
    </w:p>
    <w:p>
      <w:pPr>
        <w:spacing w:after="240" w:line="276"/>
      </w:pPr>
      <w:r>
        <w:rPr>
          <w:rFonts w:ascii="Calibri" w:cs="Calibri" w:eastAsia="Calibri" w:hAnsi="Calibri"/>
          <w:color w:val="595959"/>
          <w:sz w:val="20"/>
          <w:szCs w:val="20"/>
        </w:rPr>
        <w:t xml:space="preserve">Prepared 1 August 2026 · 31 reporting entities · 543 country-years</w:t>
      </w:r>
    </w:p>
    <w:p>
      <w:pPr>
        <w:pStyle w:val="Heading1"/>
        <w:pBdr>
          <w:bottom w:val="single" w:color="1F4E5F" w:sz="6" w:space="4"/>
        </w:pBdr>
        <w:spacing w:after="160" w:before="320"/>
      </w:pPr>
      <w:r>
        <w:rPr>
          <w:rFonts w:ascii="Calibri" w:cs="Calibri" w:eastAsia="Calibri" w:hAnsi="Calibri"/>
          <w:b/>
          <w:bCs/>
          <w:color w:val="1F4E5F"/>
          <w:sz w:val="28"/>
          <w:szCs w:val="28"/>
        </w:rPr>
        <w:t xml:space="preserve">1. The headline</w:t>
      </w:r>
    </w:p>
    <w:p>
      <w:pPr>
        <w:pStyle w:val="ListParagraph"/>
        <w:numPr>
          <w:ilvl w:val="0"/>
          <w:numId w:val="2"/>
        </w:numPr>
        <w:spacing w:after="80" w:line="276"/>
      </w:pPr>
      <w:r>
        <w:rPr>
          <w:rFonts w:ascii="Calibri" w:cs="Calibri" w:eastAsia="Calibri" w:hAnsi="Calibri"/>
          <w:b/>
          <w:bCs/>
          <w:sz w:val="22"/>
          <w:szCs w:val="22"/>
        </w:rPr>
        <w:t xml:space="preserve">Recycling targets are broadly met; recovery targets are not. </w:t>
      </w:r>
      <w:r>
        <w:rPr>
          <w:rFonts w:ascii="Calibri" w:cs="Calibri" w:eastAsia="Calibri" w:hAnsi="Calibri"/>
          <w:sz w:val="22"/>
          <w:szCs w:val="22"/>
        </w:rPr>
        <w:t xml:space="preserve">In 2023, 26 of 29 reporting countries met the 85% reuse-and-recycling target, but only 19 met the 95% reuse-and-recovery target — 10 missed it. The gap is the story, and it is persistent, not a one-year blip.</w:t>
      </w:r>
    </w:p>
    <w:p>
      <w:pPr>
        <w:pStyle w:val="ListParagraph"/>
        <w:numPr>
          <w:ilvl w:val="0"/>
          <w:numId w:val="2"/>
        </w:numPr>
        <w:spacing w:after="80" w:line="276"/>
      </w:pPr>
      <w:r>
        <w:rPr>
          <w:rFonts w:ascii="Calibri" w:cs="Calibri" w:eastAsia="Calibri" w:hAnsi="Calibri"/>
          <w:b/>
          <w:bCs/>
          <w:sz w:val="22"/>
          <w:szCs w:val="22"/>
        </w:rPr>
        <w:t xml:space="preserve">The EU27 aggregate itself misses the recovery target. </w:t>
      </w:r>
      <w:r>
        <w:rPr>
          <w:rFonts w:ascii="Calibri" w:cs="Calibri" w:eastAsia="Calibri" w:hAnsi="Calibri"/>
          <w:sz w:val="22"/>
          <w:szCs w:val="22"/>
        </w:rPr>
        <w:t xml:space="preserve">93.7% in 2023 against a 95% requirement. The aggregate has cleared 95% exactly once in recent years (2019, at 95.0%).</w:t>
      </w:r>
    </w:p>
    <w:p>
      <w:pPr>
        <w:pStyle w:val="ListParagraph"/>
        <w:numPr>
          <w:ilvl w:val="0"/>
          <w:numId w:val="2"/>
        </w:numPr>
        <w:spacing w:after="80" w:line="276"/>
      </w:pPr>
      <w:r>
        <w:rPr>
          <w:rFonts w:ascii="Calibri" w:cs="Calibri" w:eastAsia="Calibri" w:hAnsi="Calibri"/>
          <w:b/>
          <w:bCs/>
          <w:sz w:val="22"/>
          <w:szCs w:val="22"/>
        </w:rPr>
        <w:t xml:space="preserve">Roughly one tonne in thirteen leaves the country as an exported vehicle. </w:t>
      </w:r>
      <w:r>
        <w:rPr>
          <w:rFonts w:ascii="Calibri" w:cs="Calibri" w:eastAsia="Calibri" w:hAnsi="Calibri"/>
          <w:sz w:val="22"/>
          <w:szCs w:val="22"/>
        </w:rPr>
        <w:t xml:space="preserve">Exported end-of-life vehicles have run at 5.7%–8.2% of generated tonnage every year since 2017 — a stable, structural share rather than an anomaly.</w:t>
      </w:r>
    </w:p>
    <w:p>
      <w:pPr>
        <w:pStyle w:val="Heading2"/>
        <w:spacing w:after="100" w:before="240"/>
      </w:pPr>
      <w:r>
        <w:rPr>
          <w:rFonts w:ascii="Calibri" w:cs="Calibri" w:eastAsia="Calibri" w:hAnsi="Calibri"/>
          <w:b/>
          <w:bCs/>
          <w:color w:val="000000"/>
          <w:sz w:val="24"/>
          <w:szCs w:val="24"/>
        </w:rPr>
        <w:t xml:space="preserve">EU27 aggregate performance against targets</w:t>
      </w:r>
    </w:p>
    <w:tbl>
      <w:tblPr>
        <w:tblW w:type="dxa" w:w="9360"/>
        <w:tblBorders>
          <w:top w:val="single" w:color="BFBFBF" w:sz="4"/>
          <w:left w:val="none"/>
          <w:bottom w:val="single" w:color="BFBFBF" w:sz="4"/>
          <w:right w:val="none"/>
          <w:insideH w:val="single" w:color="D9D9D9" w:sz="2"/>
          <w:insideV w:val="none"/>
        </w:tblBorders>
      </w:tblPr>
      <w:tblGrid>
        <w:gridCol w:w="1560"/>
        <w:gridCol w:w="2200"/>
        <w:gridCol w:w="1600"/>
        <w:gridCol w:w="2200"/>
        <w:gridCol w:w="1800"/>
      </w:tblGrid>
      <w:tr>
        <w:trPr>
          <w:tblHeader/>
        </w:trPr>
        <w:tc>
          <w:tcPr>
            <w:tcW w:type="dxa" w:w="1560"/>
            <w:shd w:fill="E8EEF1" w:color="auto"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Year</w:t>
            </w:r>
          </w:p>
        </w:tc>
        <w:tc>
          <w:tcPr>
            <w:tcW w:type="dxa" w:w="2200"/>
            <w:shd w:fill="E8EEF1" w:color="auto" w:val="clear"/>
            <w:tcMar>
              <w:top w:type="dxa" w:w="60"/>
              <w:left w:type="dxa" w:w="100"/>
              <w:bottom w:type="dxa" w:w="60"/>
              <w:right w:type="dxa" w:w="100"/>
            </w:tcMar>
          </w:tcPr>
          <w:p>
            <w:pPr>
              <w:spacing w:after="0" w:line="240"/>
              <w:jc w:val="right"/>
            </w:pPr>
            <w:r>
              <w:rPr>
                <w:rFonts w:ascii="Calibri" w:cs="Calibri" w:eastAsia="Calibri" w:hAnsi="Calibri"/>
                <w:b/>
                <w:bCs/>
                <w:sz w:val="20"/>
                <w:szCs w:val="20"/>
              </w:rPr>
              <w:t xml:space="preserve">Reuse + recycling</w:t>
            </w:r>
          </w:p>
        </w:tc>
        <w:tc>
          <w:tcPr>
            <w:tcW w:type="dxa" w:w="1600"/>
            <w:shd w:fill="E8EEF1" w:color="auto" w:val="clear"/>
            <w:tcMar>
              <w:top w:type="dxa" w:w="60"/>
              <w:left w:type="dxa" w:w="100"/>
              <w:bottom w:type="dxa" w:w="60"/>
              <w:right w:type="dxa" w:w="100"/>
            </w:tcMar>
          </w:tcPr>
          <w:p>
            <w:pPr>
              <w:spacing w:after="0" w:line="240"/>
              <w:jc w:val="right"/>
            </w:pPr>
            <w:r>
              <w:rPr>
                <w:rFonts w:ascii="Calibri" w:cs="Calibri" w:eastAsia="Calibri" w:hAnsi="Calibri"/>
                <w:b/>
                <w:bCs/>
                <w:sz w:val="20"/>
                <w:szCs w:val="20"/>
              </w:rPr>
              <w:t xml:space="preserve">Target 85%</w:t>
            </w:r>
          </w:p>
        </w:tc>
        <w:tc>
          <w:tcPr>
            <w:tcW w:type="dxa" w:w="2200"/>
            <w:shd w:fill="E8EEF1" w:color="auto" w:val="clear"/>
            <w:tcMar>
              <w:top w:type="dxa" w:w="60"/>
              <w:left w:type="dxa" w:w="100"/>
              <w:bottom w:type="dxa" w:w="60"/>
              <w:right w:type="dxa" w:w="100"/>
            </w:tcMar>
          </w:tcPr>
          <w:p>
            <w:pPr>
              <w:spacing w:after="0" w:line="240"/>
              <w:jc w:val="right"/>
            </w:pPr>
            <w:r>
              <w:rPr>
                <w:rFonts w:ascii="Calibri" w:cs="Calibri" w:eastAsia="Calibri" w:hAnsi="Calibri"/>
                <w:b/>
                <w:bCs/>
                <w:sz w:val="20"/>
                <w:szCs w:val="20"/>
              </w:rPr>
              <w:t xml:space="preserve">Reuse + recovery</w:t>
            </w:r>
          </w:p>
        </w:tc>
        <w:tc>
          <w:tcPr>
            <w:tcW w:type="dxa" w:w="1800"/>
            <w:shd w:fill="E8EEF1" w:color="auto" w:val="clear"/>
            <w:tcMar>
              <w:top w:type="dxa" w:w="60"/>
              <w:left w:type="dxa" w:w="100"/>
              <w:bottom w:type="dxa" w:w="60"/>
              <w:right w:type="dxa" w:w="100"/>
            </w:tcMar>
          </w:tcPr>
          <w:p>
            <w:pPr>
              <w:spacing w:after="0" w:line="240"/>
              <w:jc w:val="right"/>
            </w:pPr>
            <w:r>
              <w:rPr>
                <w:rFonts w:ascii="Calibri" w:cs="Calibri" w:eastAsia="Calibri" w:hAnsi="Calibri"/>
                <w:b/>
                <w:bCs/>
                <w:sz w:val="20"/>
                <w:szCs w:val="20"/>
              </w:rPr>
              <w:t xml:space="preserve">Target 95%</w:t>
            </w:r>
          </w:p>
        </w:tc>
      </w:tr>
      <w:tr>
        <w:tc>
          <w:tcPr>
            <w:tcW w:type="dxa" w:w="1560"/>
            <w:tcMar>
              <w:top w:type="dxa" w:w="60"/>
              <w:left w:type="dxa" w:w="100"/>
              <w:bottom w:type="dxa" w:w="60"/>
              <w:right w:type="dxa" w:w="100"/>
            </w:tcMar>
          </w:tcPr>
          <w:p>
            <w:pPr>
              <w:spacing w:after="0" w:line="240"/>
            </w:pPr>
            <w:r>
              <w:rPr>
                <w:rFonts w:ascii="Calibri" w:cs="Calibri" w:eastAsia="Calibri" w:hAnsi="Calibri"/>
                <w:sz w:val="20"/>
                <w:szCs w:val="20"/>
              </w:rPr>
              <w:t xml:space="preserve">2019</w:t>
            </w:r>
          </w:p>
        </w:tc>
        <w:tc>
          <w:tcPr>
            <w:tcW w:type="dxa" w:w="22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89.5%</w:t>
            </w:r>
          </w:p>
        </w:tc>
        <w:tc>
          <w:tcPr>
            <w:tcW w:type="dxa" w:w="16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Met</w:t>
            </w:r>
          </w:p>
        </w:tc>
        <w:tc>
          <w:tcPr>
            <w:tcW w:type="dxa" w:w="22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95.0%</w:t>
            </w:r>
          </w:p>
        </w:tc>
        <w:tc>
          <w:tcPr>
            <w:tcW w:type="dxa" w:w="18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Met</w:t>
            </w:r>
          </w:p>
        </w:tc>
      </w:tr>
      <w:tr>
        <w:tc>
          <w:tcPr>
            <w:tcW w:type="dxa" w:w="1560"/>
            <w:tcMar>
              <w:top w:type="dxa" w:w="60"/>
              <w:left w:type="dxa" w:w="100"/>
              <w:bottom w:type="dxa" w:w="60"/>
              <w:right w:type="dxa" w:w="100"/>
            </w:tcMar>
          </w:tcPr>
          <w:p>
            <w:pPr>
              <w:spacing w:after="0" w:line="240"/>
            </w:pPr>
            <w:r>
              <w:rPr>
                <w:rFonts w:ascii="Calibri" w:cs="Calibri" w:eastAsia="Calibri" w:hAnsi="Calibri"/>
                <w:sz w:val="20"/>
                <w:szCs w:val="20"/>
              </w:rPr>
              <w:t xml:space="preserve">2020</w:t>
            </w:r>
          </w:p>
        </w:tc>
        <w:tc>
          <w:tcPr>
            <w:tcW w:type="dxa" w:w="22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89.1%</w:t>
            </w:r>
          </w:p>
        </w:tc>
        <w:tc>
          <w:tcPr>
            <w:tcW w:type="dxa" w:w="16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Met</w:t>
            </w:r>
          </w:p>
        </w:tc>
        <w:tc>
          <w:tcPr>
            <w:tcW w:type="dxa" w:w="22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94.6%</w:t>
            </w:r>
          </w:p>
        </w:tc>
        <w:tc>
          <w:tcPr>
            <w:tcW w:type="dxa" w:w="18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Missed</w:t>
            </w:r>
          </w:p>
        </w:tc>
      </w:tr>
      <w:tr>
        <w:tc>
          <w:tcPr>
            <w:tcW w:type="dxa" w:w="1560"/>
            <w:tcMar>
              <w:top w:type="dxa" w:w="60"/>
              <w:left w:type="dxa" w:w="100"/>
              <w:bottom w:type="dxa" w:w="60"/>
              <w:right w:type="dxa" w:w="100"/>
            </w:tcMar>
          </w:tcPr>
          <w:p>
            <w:pPr>
              <w:spacing w:after="0" w:line="240"/>
            </w:pPr>
            <w:r>
              <w:rPr>
                <w:rFonts w:ascii="Calibri" w:cs="Calibri" w:eastAsia="Calibri" w:hAnsi="Calibri"/>
                <w:sz w:val="20"/>
                <w:szCs w:val="20"/>
              </w:rPr>
              <w:t xml:space="preserve">2021</w:t>
            </w:r>
          </w:p>
        </w:tc>
        <w:tc>
          <w:tcPr>
            <w:tcW w:type="dxa" w:w="22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88.1%</w:t>
            </w:r>
          </w:p>
        </w:tc>
        <w:tc>
          <w:tcPr>
            <w:tcW w:type="dxa" w:w="16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Met</w:t>
            </w:r>
          </w:p>
        </w:tc>
        <w:tc>
          <w:tcPr>
            <w:tcW w:type="dxa" w:w="22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93.5%</w:t>
            </w:r>
          </w:p>
        </w:tc>
        <w:tc>
          <w:tcPr>
            <w:tcW w:type="dxa" w:w="18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Missed</w:t>
            </w:r>
          </w:p>
        </w:tc>
      </w:tr>
      <w:tr>
        <w:tc>
          <w:tcPr>
            <w:tcW w:type="dxa" w:w="1560"/>
            <w:tcMar>
              <w:top w:type="dxa" w:w="60"/>
              <w:left w:type="dxa" w:w="100"/>
              <w:bottom w:type="dxa" w:w="60"/>
              <w:right w:type="dxa" w:w="100"/>
            </w:tcMar>
          </w:tcPr>
          <w:p>
            <w:pPr>
              <w:spacing w:after="0" w:line="240"/>
            </w:pPr>
            <w:r>
              <w:rPr>
                <w:rFonts w:ascii="Calibri" w:cs="Calibri" w:eastAsia="Calibri" w:hAnsi="Calibri"/>
                <w:sz w:val="20"/>
                <w:szCs w:val="20"/>
              </w:rPr>
              <w:t xml:space="preserve">2022</w:t>
            </w:r>
          </w:p>
        </w:tc>
        <w:tc>
          <w:tcPr>
            <w:tcW w:type="dxa" w:w="22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89.1%</w:t>
            </w:r>
          </w:p>
        </w:tc>
        <w:tc>
          <w:tcPr>
            <w:tcW w:type="dxa" w:w="16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Met</w:t>
            </w:r>
          </w:p>
        </w:tc>
        <w:tc>
          <w:tcPr>
            <w:tcW w:type="dxa" w:w="22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94.4%</w:t>
            </w:r>
          </w:p>
        </w:tc>
        <w:tc>
          <w:tcPr>
            <w:tcW w:type="dxa" w:w="18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Missed</w:t>
            </w:r>
          </w:p>
        </w:tc>
      </w:tr>
      <w:tr>
        <w:tc>
          <w:tcPr>
            <w:tcW w:type="dxa" w:w="1560"/>
            <w:tcMar>
              <w:top w:type="dxa" w:w="60"/>
              <w:left w:type="dxa" w:w="100"/>
              <w:bottom w:type="dxa" w:w="60"/>
              <w:right w:type="dxa" w:w="100"/>
            </w:tcMar>
          </w:tcPr>
          <w:p>
            <w:pPr>
              <w:spacing w:after="0" w:line="240"/>
            </w:pPr>
            <w:r>
              <w:rPr>
                <w:rFonts w:ascii="Calibri" w:cs="Calibri" w:eastAsia="Calibri" w:hAnsi="Calibri"/>
                <w:sz w:val="20"/>
                <w:szCs w:val="20"/>
              </w:rPr>
              <w:t xml:space="preserve">2023</w:t>
            </w:r>
          </w:p>
        </w:tc>
        <w:tc>
          <w:tcPr>
            <w:tcW w:type="dxa" w:w="22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88.3%</w:t>
            </w:r>
          </w:p>
        </w:tc>
        <w:tc>
          <w:tcPr>
            <w:tcW w:type="dxa" w:w="16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Met</w:t>
            </w:r>
          </w:p>
        </w:tc>
        <w:tc>
          <w:tcPr>
            <w:tcW w:type="dxa" w:w="22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93.7%</w:t>
            </w:r>
          </w:p>
        </w:tc>
        <w:tc>
          <w:tcPr>
            <w:tcW w:type="dxa" w:w="18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Missed</w:t>
            </w:r>
          </w:p>
        </w:tc>
      </w:tr>
    </w:tbl>
    <w:p>
      <w:pPr>
        <w:spacing w:after="200" w:line="276"/>
      </w:pPr>
      <w:r>
        <w:rPr>
          <w:rFonts w:ascii="Calibri" w:cs="Calibri" w:eastAsia="Calibri" w:hAnsi="Calibri"/>
          <w:i/>
          <w:iCs/>
          <w:color w:val="595959"/>
          <w:sz w:val="20"/>
          <w:szCs w:val="20"/>
        </w:rPr>
        <w:t xml:space="preserve">Recovery includes energy recovery on top of recycling, so it should sit above the recycling rate — and does. The binding constraint across the EU is the final few points of recovery, not recycling.</w:t>
      </w:r>
    </w:p>
    <w:p>
      <w:pPr>
        <w:pStyle w:val="Heading1"/>
        <w:pBdr>
          <w:bottom w:val="single" w:color="1F4E5F" w:sz="6" w:space="4"/>
        </w:pBdr>
        <w:spacing w:after="160" w:before="320"/>
      </w:pPr>
      <w:r>
        <w:rPr>
          <w:rFonts w:ascii="Calibri" w:cs="Calibri" w:eastAsia="Calibri" w:hAnsi="Calibri"/>
          <w:b/>
          <w:bCs/>
          <w:color w:val="1F4E5F"/>
          <w:sz w:val="28"/>
          <w:szCs w:val="28"/>
        </w:rPr>
        <w:t xml:space="preserve">2. The export lens — the leakage question</w:t>
      </w:r>
    </w:p>
    <w:p>
      <w:pPr>
        <w:spacing w:after="140" w:line="276"/>
      </w:pPr>
      <w:r>
        <w:rPr>
          <w:rFonts w:ascii="Calibri" w:cs="Calibri" w:eastAsia="Calibri" w:hAnsi="Calibri"/>
          <w:sz w:val="22"/>
          <w:szCs w:val="22"/>
        </w:rPr>
        <w:t xml:space="preserve">This is the analytically distinctive finding and the one that most affects how the headline rates should be read.</w:t>
      </w:r>
    </w:p>
    <w:p>
      <w:pPr>
        <w:pStyle w:val="ListParagraph"/>
        <w:numPr>
          <w:ilvl w:val="0"/>
          <w:numId w:val="2"/>
        </w:numPr>
        <w:spacing w:after="80" w:line="276"/>
      </w:pPr>
      <w:r>
        <w:rPr>
          <w:rFonts w:ascii="Calibri" w:cs="Calibri" w:eastAsia="Calibri" w:hAnsi="Calibri"/>
          <w:b/>
          <w:bCs/>
          <w:sz w:val="22"/>
          <w:szCs w:val="22"/>
        </w:rPr>
        <w:t xml:space="preserve">"Exported" is not a fifth treatment option — it cuts across all of them. </w:t>
      </w:r>
      <w:r>
        <w:rPr>
          <w:rFonts w:ascii="Calibri" w:cs="Calibri" w:eastAsia="Calibri" w:hAnsi="Calibri"/>
          <w:sz w:val="22"/>
          <w:szCs w:val="22"/>
        </w:rPr>
        <w:t xml:space="preserve">In Eurostat's structure, EXP is a value of the waste-category dimension, not the operation dimension. It was verified by cross-tabulation rather than assumed: for a given country and year, DSP(EXP) + RCV(EXP) = GEN(EXP) exactly (e.g. Germany 2006: 215 + 24,644 = 24,859 tonnes).</w:t>
      </w:r>
    </w:p>
    <w:p>
      <w:pPr>
        <w:pStyle w:val="ListParagraph"/>
        <w:numPr>
          <w:ilvl w:val="0"/>
          <w:numId w:val="2"/>
        </w:numPr>
        <w:spacing w:after="80" w:line="276"/>
      </w:pPr>
      <w:r>
        <w:rPr>
          <w:rFonts w:ascii="Calibri" w:cs="Calibri" w:eastAsia="Calibri" w:hAnsi="Calibri"/>
          <w:b/>
          <w:bCs/>
          <w:sz w:val="22"/>
          <w:szCs w:val="22"/>
        </w:rPr>
        <w:t xml:space="preserve">Practical consequence: a reported recycling or recovery rate can include tonnage that physically left the country </w:t>
      </w:r>
      <w:r>
        <w:rPr>
          <w:rFonts w:ascii="Calibri" w:cs="Calibri" w:eastAsia="Calibri" w:hAnsi="Calibri"/>
          <w:sz w:val="22"/>
          <w:szCs w:val="22"/>
        </w:rPr>
        <w:t xml:space="preserve">rather than being processed domestically. The rate measures reported treatment, not domestic processing capacity.</w:t>
      </w:r>
    </w:p>
    <w:p>
      <w:pPr>
        <w:pStyle w:val="ListParagraph"/>
        <w:numPr>
          <w:ilvl w:val="0"/>
          <w:numId w:val="2"/>
        </w:numPr>
        <w:spacing w:after="80" w:line="276"/>
      </w:pPr>
      <w:r>
        <w:rPr>
          <w:rFonts w:ascii="Calibri" w:cs="Calibri" w:eastAsia="Calibri" w:hAnsi="Calibri"/>
          <w:b/>
          <w:bCs/>
          <w:sz w:val="22"/>
          <w:szCs w:val="22"/>
        </w:rPr>
        <w:t xml:space="preserve">The share is material and stable. </w:t>
      </w:r>
      <w:r>
        <w:rPr>
          <w:rFonts w:ascii="Calibri" w:cs="Calibri" w:eastAsia="Calibri" w:hAnsi="Calibri"/>
          <w:sz w:val="22"/>
          <w:szCs w:val="22"/>
        </w:rPr>
        <w:t xml:space="preserve">5.7% (2017) rising to 8.2% (2020), 7.3% in 2023. Not noise, and not trending away.</w:t>
      </w:r>
    </w:p>
    <w:p>
      <w:pPr>
        <w:pStyle w:val="Heading2"/>
        <w:spacing w:after="100" w:before="240"/>
      </w:pPr>
      <w:r>
        <w:rPr>
          <w:rFonts w:ascii="Calibri" w:cs="Calibri" w:eastAsia="Calibri" w:hAnsi="Calibri"/>
          <w:b/>
          <w:bCs/>
          <w:color w:val="000000"/>
          <w:sz w:val="24"/>
          <w:szCs w:val="24"/>
        </w:rPr>
        <w:t xml:space="preserve">Export share of generated tonnage (summed across reporting countries)</w:t>
      </w:r>
    </w:p>
    <w:tbl>
      <w:tblPr>
        <w:tblW w:type="dxa" w:w="9360"/>
        <w:tblBorders>
          <w:top w:val="single" w:color="BFBFBF" w:sz="4"/>
          <w:left w:val="none"/>
          <w:bottom w:val="single" w:color="BFBFBF" w:sz="4"/>
          <w:right w:val="none"/>
          <w:insideH w:val="single" w:color="D9D9D9" w:sz="2"/>
          <w:insideV w:val="none"/>
        </w:tblBorders>
      </w:tblPr>
      <w:tblGrid>
        <w:gridCol w:w="1760"/>
        <w:gridCol w:w="2600"/>
        <w:gridCol w:w="2600"/>
        <w:gridCol w:w="2400"/>
      </w:tblGrid>
      <w:tr>
        <w:trPr>
          <w:tblHeader/>
        </w:trPr>
        <w:tc>
          <w:tcPr>
            <w:tcW w:type="dxa" w:w="1760"/>
            <w:shd w:fill="E8EEF1" w:color="auto"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Year</w:t>
            </w:r>
          </w:p>
        </w:tc>
        <w:tc>
          <w:tcPr>
            <w:tcW w:type="dxa" w:w="2600"/>
            <w:shd w:fill="E8EEF1" w:color="auto" w:val="clear"/>
            <w:tcMar>
              <w:top w:type="dxa" w:w="60"/>
              <w:left w:type="dxa" w:w="100"/>
              <w:bottom w:type="dxa" w:w="60"/>
              <w:right w:type="dxa" w:w="100"/>
            </w:tcMar>
          </w:tcPr>
          <w:p>
            <w:pPr>
              <w:spacing w:after="0" w:line="240"/>
              <w:jc w:val="right"/>
            </w:pPr>
            <w:r>
              <w:rPr>
                <w:rFonts w:ascii="Calibri" w:cs="Calibri" w:eastAsia="Calibri" w:hAnsi="Calibri"/>
                <w:b/>
                <w:bCs/>
                <w:sz w:val="20"/>
                <w:szCs w:val="20"/>
              </w:rPr>
              <w:t xml:space="preserve">Exported (kt)</w:t>
            </w:r>
          </w:p>
        </w:tc>
        <w:tc>
          <w:tcPr>
            <w:tcW w:type="dxa" w:w="2600"/>
            <w:shd w:fill="E8EEF1" w:color="auto" w:val="clear"/>
            <w:tcMar>
              <w:top w:type="dxa" w:w="60"/>
              <w:left w:type="dxa" w:w="100"/>
              <w:bottom w:type="dxa" w:w="60"/>
              <w:right w:type="dxa" w:w="100"/>
            </w:tcMar>
          </w:tcPr>
          <w:p>
            <w:pPr>
              <w:spacing w:after="0" w:line="240"/>
              <w:jc w:val="right"/>
            </w:pPr>
            <w:r>
              <w:rPr>
                <w:rFonts w:ascii="Calibri" w:cs="Calibri" w:eastAsia="Calibri" w:hAnsi="Calibri"/>
                <w:b/>
                <w:bCs/>
                <w:sz w:val="20"/>
                <w:szCs w:val="20"/>
              </w:rPr>
              <w:t xml:space="preserve">Generated (kt)</w:t>
            </w:r>
          </w:p>
        </w:tc>
        <w:tc>
          <w:tcPr>
            <w:tcW w:type="dxa" w:w="2400"/>
            <w:shd w:fill="E8EEF1" w:color="auto" w:val="clear"/>
            <w:tcMar>
              <w:top w:type="dxa" w:w="60"/>
              <w:left w:type="dxa" w:w="100"/>
              <w:bottom w:type="dxa" w:w="60"/>
              <w:right w:type="dxa" w:w="100"/>
            </w:tcMar>
          </w:tcPr>
          <w:p>
            <w:pPr>
              <w:spacing w:after="0" w:line="240"/>
              <w:jc w:val="right"/>
            </w:pPr>
            <w:r>
              <w:rPr>
                <w:rFonts w:ascii="Calibri" w:cs="Calibri" w:eastAsia="Calibri" w:hAnsi="Calibri"/>
                <w:b/>
                <w:bCs/>
                <w:sz w:val="20"/>
                <w:szCs w:val="20"/>
              </w:rPr>
              <w:t xml:space="preserve">Export share</w:t>
            </w:r>
          </w:p>
        </w:tc>
      </w:tr>
      <w:tr>
        <w:tc>
          <w:tcPr>
            <w:tcW w:type="dxa" w:w="1760"/>
            <w:tcMar>
              <w:top w:type="dxa" w:w="60"/>
              <w:left w:type="dxa" w:w="100"/>
              <w:bottom w:type="dxa" w:w="60"/>
              <w:right w:type="dxa" w:w="100"/>
            </w:tcMar>
          </w:tcPr>
          <w:p>
            <w:pPr>
              <w:spacing w:after="0" w:line="240"/>
            </w:pPr>
            <w:r>
              <w:rPr>
                <w:rFonts w:ascii="Calibri" w:cs="Calibri" w:eastAsia="Calibri" w:hAnsi="Calibri"/>
                <w:sz w:val="20"/>
                <w:szCs w:val="20"/>
              </w:rPr>
              <w:t xml:space="preserve">2017</w:t>
            </w:r>
          </w:p>
        </w:tc>
        <w:tc>
          <w:tcPr>
            <w:tcW w:type="dxa" w:w="26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338</w:t>
            </w:r>
          </w:p>
        </w:tc>
        <w:tc>
          <w:tcPr>
            <w:tcW w:type="dxa" w:w="26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5,902</w:t>
            </w:r>
          </w:p>
        </w:tc>
        <w:tc>
          <w:tcPr>
            <w:tcW w:type="dxa" w:w="24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5.7%</w:t>
            </w:r>
          </w:p>
        </w:tc>
      </w:tr>
      <w:tr>
        <w:tc>
          <w:tcPr>
            <w:tcW w:type="dxa" w:w="1760"/>
            <w:tcMar>
              <w:top w:type="dxa" w:w="60"/>
              <w:left w:type="dxa" w:w="100"/>
              <w:bottom w:type="dxa" w:w="60"/>
              <w:right w:type="dxa" w:w="100"/>
            </w:tcMar>
          </w:tcPr>
          <w:p>
            <w:pPr>
              <w:spacing w:after="0" w:line="240"/>
            </w:pPr>
            <w:r>
              <w:rPr>
                <w:rFonts w:ascii="Calibri" w:cs="Calibri" w:eastAsia="Calibri" w:hAnsi="Calibri"/>
                <w:sz w:val="20"/>
                <w:szCs w:val="20"/>
              </w:rPr>
              <w:t xml:space="preserve">2019</w:t>
            </w:r>
          </w:p>
        </w:tc>
        <w:tc>
          <w:tcPr>
            <w:tcW w:type="dxa" w:w="26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547</w:t>
            </w:r>
          </w:p>
        </w:tc>
        <w:tc>
          <w:tcPr>
            <w:tcW w:type="dxa" w:w="26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7,116</w:t>
            </w:r>
          </w:p>
        </w:tc>
        <w:tc>
          <w:tcPr>
            <w:tcW w:type="dxa" w:w="24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7.7%</w:t>
            </w:r>
          </w:p>
        </w:tc>
      </w:tr>
      <w:tr>
        <w:tc>
          <w:tcPr>
            <w:tcW w:type="dxa" w:w="1760"/>
            <w:tcMar>
              <w:top w:type="dxa" w:w="60"/>
              <w:left w:type="dxa" w:w="100"/>
              <w:bottom w:type="dxa" w:w="60"/>
              <w:right w:type="dxa" w:w="100"/>
            </w:tcMar>
          </w:tcPr>
          <w:p>
            <w:pPr>
              <w:spacing w:after="0" w:line="240"/>
            </w:pPr>
            <w:r>
              <w:rPr>
                <w:rFonts w:ascii="Calibri" w:cs="Calibri" w:eastAsia="Calibri" w:hAnsi="Calibri"/>
                <w:sz w:val="20"/>
                <w:szCs w:val="20"/>
              </w:rPr>
              <w:t xml:space="preserve">2020</w:t>
            </w:r>
          </w:p>
        </w:tc>
        <w:tc>
          <w:tcPr>
            <w:tcW w:type="dxa" w:w="26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522</w:t>
            </w:r>
          </w:p>
        </w:tc>
        <w:tc>
          <w:tcPr>
            <w:tcW w:type="dxa" w:w="26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6,357</w:t>
            </w:r>
          </w:p>
        </w:tc>
        <w:tc>
          <w:tcPr>
            <w:tcW w:type="dxa" w:w="24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8.2%</w:t>
            </w:r>
          </w:p>
        </w:tc>
      </w:tr>
      <w:tr>
        <w:tc>
          <w:tcPr>
            <w:tcW w:type="dxa" w:w="1760"/>
            <w:tcMar>
              <w:top w:type="dxa" w:w="60"/>
              <w:left w:type="dxa" w:w="100"/>
              <w:bottom w:type="dxa" w:w="60"/>
              <w:right w:type="dxa" w:w="100"/>
            </w:tcMar>
          </w:tcPr>
          <w:p>
            <w:pPr>
              <w:spacing w:after="0" w:line="240"/>
            </w:pPr>
            <w:r>
              <w:rPr>
                <w:rFonts w:ascii="Calibri" w:cs="Calibri" w:eastAsia="Calibri" w:hAnsi="Calibri"/>
                <w:sz w:val="20"/>
                <w:szCs w:val="20"/>
              </w:rPr>
              <w:t xml:space="preserve">2021</w:t>
            </w:r>
          </w:p>
        </w:tc>
        <w:tc>
          <w:tcPr>
            <w:tcW w:type="dxa" w:w="26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490</w:t>
            </w:r>
          </w:p>
        </w:tc>
        <w:tc>
          <w:tcPr>
            <w:tcW w:type="dxa" w:w="26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6,639</w:t>
            </w:r>
          </w:p>
        </w:tc>
        <w:tc>
          <w:tcPr>
            <w:tcW w:type="dxa" w:w="24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7.4%</w:t>
            </w:r>
          </w:p>
        </w:tc>
      </w:tr>
      <w:tr>
        <w:tc>
          <w:tcPr>
            <w:tcW w:type="dxa" w:w="1760"/>
            <w:tcMar>
              <w:top w:type="dxa" w:w="60"/>
              <w:left w:type="dxa" w:w="100"/>
              <w:bottom w:type="dxa" w:w="60"/>
              <w:right w:type="dxa" w:w="100"/>
            </w:tcMar>
          </w:tcPr>
          <w:p>
            <w:pPr>
              <w:spacing w:after="0" w:line="240"/>
            </w:pPr>
            <w:r>
              <w:rPr>
                <w:rFonts w:ascii="Calibri" w:cs="Calibri" w:eastAsia="Calibri" w:hAnsi="Calibri"/>
                <w:sz w:val="20"/>
                <w:szCs w:val="20"/>
              </w:rPr>
              <w:t xml:space="preserve">2022</w:t>
            </w:r>
          </w:p>
        </w:tc>
        <w:tc>
          <w:tcPr>
            <w:tcW w:type="dxa" w:w="26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450</w:t>
            </w:r>
          </w:p>
        </w:tc>
        <w:tc>
          <w:tcPr>
            <w:tcW w:type="dxa" w:w="26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5,555</w:t>
            </w:r>
          </w:p>
        </w:tc>
        <w:tc>
          <w:tcPr>
            <w:tcW w:type="dxa" w:w="24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8.1%</w:t>
            </w:r>
          </w:p>
        </w:tc>
      </w:tr>
      <w:tr>
        <w:tc>
          <w:tcPr>
            <w:tcW w:type="dxa" w:w="1760"/>
            <w:tcMar>
              <w:top w:type="dxa" w:w="60"/>
              <w:left w:type="dxa" w:w="100"/>
              <w:bottom w:type="dxa" w:w="60"/>
              <w:right w:type="dxa" w:w="100"/>
            </w:tcMar>
          </w:tcPr>
          <w:p>
            <w:pPr>
              <w:spacing w:after="0" w:line="240"/>
            </w:pPr>
            <w:r>
              <w:rPr>
                <w:rFonts w:ascii="Calibri" w:cs="Calibri" w:eastAsia="Calibri" w:hAnsi="Calibri"/>
                <w:sz w:val="20"/>
                <w:szCs w:val="20"/>
              </w:rPr>
              <w:t xml:space="preserve">2023</w:t>
            </w:r>
          </w:p>
        </w:tc>
        <w:tc>
          <w:tcPr>
            <w:tcW w:type="dxa" w:w="26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375</w:t>
            </w:r>
          </w:p>
        </w:tc>
        <w:tc>
          <w:tcPr>
            <w:tcW w:type="dxa" w:w="26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5,121</w:t>
            </w:r>
          </w:p>
        </w:tc>
        <w:tc>
          <w:tcPr>
            <w:tcW w:type="dxa" w:w="24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7.3%</w:t>
            </w:r>
          </w:p>
        </w:tc>
      </w:tr>
    </w:tbl>
    <w:p>
      <w:pPr>
        <w:pStyle w:val="Heading2"/>
        <w:spacing w:after="100" w:before="240"/>
      </w:pPr>
      <w:r>
        <w:rPr>
          <w:rFonts w:ascii="Calibri" w:cs="Calibri" w:eastAsia="Calibri" w:hAnsi="Calibri"/>
          <w:b/>
          <w:bCs/>
          <w:color w:val="000000"/>
          <w:sz w:val="24"/>
          <w:szCs w:val="24"/>
        </w:rPr>
        <w:t xml:space="preserve">Where exports dominate (2023)</w:t>
      </w:r>
    </w:p>
    <w:p>
      <w:pPr>
        <w:spacing w:after="120" w:line="276"/>
      </w:pPr>
      <w:r>
        <w:rPr>
          <w:rFonts w:ascii="Calibri" w:cs="Calibri" w:eastAsia="Calibri" w:hAnsi="Calibri"/>
          <w:sz w:val="22"/>
          <w:szCs w:val="22"/>
        </w:rPr>
        <w:t xml:space="preserve">For several smaller economies, export is the primary disposal route — which means their headline rates describe very little domestic processing:</w:t>
      </w:r>
    </w:p>
    <w:tbl>
      <w:tblPr>
        <w:tblW w:type="dxa" w:w="9360"/>
        <w:tblBorders>
          <w:top w:val="single" w:color="BFBFBF" w:sz="4"/>
          <w:left w:val="none"/>
          <w:bottom w:val="single" w:color="BFBFBF" w:sz="4"/>
          <w:right w:val="none"/>
          <w:insideH w:val="single" w:color="D9D9D9" w:sz="2"/>
          <w:insideV w:val="none"/>
        </w:tblBorders>
      </w:tblPr>
      <w:tblGrid>
        <w:gridCol w:w="2360"/>
        <w:gridCol w:w="2400"/>
        <w:gridCol w:w="2400"/>
        <w:gridCol w:w="2200"/>
      </w:tblGrid>
      <w:tr>
        <w:trPr>
          <w:tblHeader/>
        </w:trPr>
        <w:tc>
          <w:tcPr>
            <w:tcW w:type="dxa" w:w="2360"/>
            <w:shd w:fill="E8EEF1" w:color="auto"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Country</w:t>
            </w:r>
          </w:p>
        </w:tc>
        <w:tc>
          <w:tcPr>
            <w:tcW w:type="dxa" w:w="2400"/>
            <w:shd w:fill="E8EEF1" w:color="auto" w:val="clear"/>
            <w:tcMar>
              <w:top w:type="dxa" w:w="60"/>
              <w:left w:type="dxa" w:w="100"/>
              <w:bottom w:type="dxa" w:w="60"/>
              <w:right w:type="dxa" w:w="100"/>
            </w:tcMar>
          </w:tcPr>
          <w:p>
            <w:pPr>
              <w:spacing w:after="0" w:line="240"/>
              <w:jc w:val="right"/>
            </w:pPr>
            <w:r>
              <w:rPr>
                <w:rFonts w:ascii="Calibri" w:cs="Calibri" w:eastAsia="Calibri" w:hAnsi="Calibri"/>
                <w:b/>
                <w:bCs/>
                <w:sz w:val="20"/>
                <w:szCs w:val="20"/>
              </w:rPr>
              <w:t xml:space="preserve">Exported (kt)</w:t>
            </w:r>
          </w:p>
        </w:tc>
        <w:tc>
          <w:tcPr>
            <w:tcW w:type="dxa" w:w="2400"/>
            <w:shd w:fill="E8EEF1" w:color="auto" w:val="clear"/>
            <w:tcMar>
              <w:top w:type="dxa" w:w="60"/>
              <w:left w:type="dxa" w:w="100"/>
              <w:bottom w:type="dxa" w:w="60"/>
              <w:right w:type="dxa" w:w="100"/>
            </w:tcMar>
          </w:tcPr>
          <w:p>
            <w:pPr>
              <w:spacing w:after="0" w:line="240"/>
              <w:jc w:val="right"/>
            </w:pPr>
            <w:r>
              <w:rPr>
                <w:rFonts w:ascii="Calibri" w:cs="Calibri" w:eastAsia="Calibri" w:hAnsi="Calibri"/>
                <w:b/>
                <w:bCs/>
                <w:sz w:val="20"/>
                <w:szCs w:val="20"/>
              </w:rPr>
              <w:t xml:space="preserve">Generated (kt)</w:t>
            </w:r>
          </w:p>
        </w:tc>
        <w:tc>
          <w:tcPr>
            <w:tcW w:type="dxa" w:w="2200"/>
            <w:shd w:fill="E8EEF1" w:color="auto" w:val="clear"/>
            <w:tcMar>
              <w:top w:type="dxa" w:w="60"/>
              <w:left w:type="dxa" w:w="100"/>
              <w:bottom w:type="dxa" w:w="60"/>
              <w:right w:type="dxa" w:w="100"/>
            </w:tcMar>
          </w:tcPr>
          <w:p>
            <w:pPr>
              <w:spacing w:after="0" w:line="240"/>
              <w:jc w:val="right"/>
            </w:pPr>
            <w:r>
              <w:rPr>
                <w:rFonts w:ascii="Calibri" w:cs="Calibri" w:eastAsia="Calibri" w:hAnsi="Calibri"/>
                <w:b/>
                <w:bCs/>
                <w:sz w:val="20"/>
                <w:szCs w:val="20"/>
              </w:rPr>
              <w:t xml:space="preserve">Export share</w:t>
            </w:r>
          </w:p>
        </w:tc>
      </w:tr>
      <w:tr>
        <w:tc>
          <w:tcPr>
            <w:tcW w:type="dxa" w:w="2360"/>
            <w:tcMar>
              <w:top w:type="dxa" w:w="60"/>
              <w:left w:type="dxa" w:w="100"/>
              <w:bottom w:type="dxa" w:w="60"/>
              <w:right w:type="dxa" w:w="100"/>
            </w:tcMar>
          </w:tcPr>
          <w:p>
            <w:pPr>
              <w:spacing w:after="0" w:line="240"/>
            </w:pPr>
            <w:r>
              <w:rPr>
                <w:rFonts w:ascii="Calibri" w:cs="Calibri" w:eastAsia="Calibri" w:hAnsi="Calibri"/>
                <w:sz w:val="20"/>
                <w:szCs w:val="20"/>
              </w:rPr>
              <w:t xml:space="preserve">Iceland</w:t>
            </w:r>
          </w:p>
        </w:tc>
        <w:tc>
          <w:tcPr>
            <w:tcW w:type="dxa" w:w="24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11.9</w:t>
            </w:r>
          </w:p>
        </w:tc>
        <w:tc>
          <w:tcPr>
            <w:tcW w:type="dxa" w:w="24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12.3</w:t>
            </w:r>
          </w:p>
        </w:tc>
        <w:tc>
          <w:tcPr>
            <w:tcW w:type="dxa" w:w="22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97.2%</w:t>
            </w:r>
          </w:p>
        </w:tc>
      </w:tr>
      <w:tr>
        <w:tc>
          <w:tcPr>
            <w:tcW w:type="dxa" w:w="2360"/>
            <w:tcMar>
              <w:top w:type="dxa" w:w="60"/>
              <w:left w:type="dxa" w:w="100"/>
              <w:bottom w:type="dxa" w:w="60"/>
              <w:right w:type="dxa" w:w="100"/>
            </w:tcMar>
          </w:tcPr>
          <w:p>
            <w:pPr>
              <w:spacing w:after="0" w:line="240"/>
            </w:pPr>
            <w:r>
              <w:rPr>
                <w:rFonts w:ascii="Calibri" w:cs="Calibri" w:eastAsia="Calibri" w:hAnsi="Calibri"/>
                <w:sz w:val="20"/>
                <w:szCs w:val="20"/>
              </w:rPr>
              <w:t xml:space="preserve">Luxembourg</w:t>
            </w:r>
          </w:p>
        </w:tc>
        <w:tc>
          <w:tcPr>
            <w:tcW w:type="dxa" w:w="24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1.3</w:t>
            </w:r>
          </w:p>
        </w:tc>
        <w:tc>
          <w:tcPr>
            <w:tcW w:type="dxa" w:w="24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1.7</w:t>
            </w:r>
          </w:p>
        </w:tc>
        <w:tc>
          <w:tcPr>
            <w:tcW w:type="dxa" w:w="22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80.9%</w:t>
            </w:r>
          </w:p>
        </w:tc>
      </w:tr>
      <w:tr>
        <w:tc>
          <w:tcPr>
            <w:tcW w:type="dxa" w:w="2360"/>
            <w:tcMar>
              <w:top w:type="dxa" w:w="60"/>
              <w:left w:type="dxa" w:w="100"/>
              <w:bottom w:type="dxa" w:w="60"/>
              <w:right w:type="dxa" w:w="100"/>
            </w:tcMar>
          </w:tcPr>
          <w:p>
            <w:pPr>
              <w:spacing w:after="0" w:line="240"/>
            </w:pPr>
            <w:r>
              <w:rPr>
                <w:rFonts w:ascii="Calibri" w:cs="Calibri" w:eastAsia="Calibri" w:hAnsi="Calibri"/>
                <w:sz w:val="20"/>
                <w:szCs w:val="20"/>
              </w:rPr>
              <w:t xml:space="preserve">Malta</w:t>
            </w:r>
          </w:p>
        </w:tc>
        <w:tc>
          <w:tcPr>
            <w:tcW w:type="dxa" w:w="24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6.1</w:t>
            </w:r>
          </w:p>
        </w:tc>
        <w:tc>
          <w:tcPr>
            <w:tcW w:type="dxa" w:w="24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10.2</w:t>
            </w:r>
          </w:p>
        </w:tc>
        <w:tc>
          <w:tcPr>
            <w:tcW w:type="dxa" w:w="22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59.4%</w:t>
            </w:r>
          </w:p>
        </w:tc>
      </w:tr>
      <w:tr>
        <w:tc>
          <w:tcPr>
            <w:tcW w:type="dxa" w:w="2360"/>
            <w:tcMar>
              <w:top w:type="dxa" w:w="60"/>
              <w:left w:type="dxa" w:w="100"/>
              <w:bottom w:type="dxa" w:w="60"/>
              <w:right w:type="dxa" w:w="100"/>
            </w:tcMar>
          </w:tcPr>
          <w:p>
            <w:pPr>
              <w:spacing w:after="0" w:line="240"/>
            </w:pPr>
            <w:r>
              <w:rPr>
                <w:rFonts w:ascii="Calibri" w:cs="Calibri" w:eastAsia="Calibri" w:hAnsi="Calibri"/>
                <w:sz w:val="20"/>
                <w:szCs w:val="20"/>
              </w:rPr>
              <w:t xml:space="preserve">Slovenia</w:t>
            </w:r>
          </w:p>
        </w:tc>
        <w:tc>
          <w:tcPr>
            <w:tcW w:type="dxa" w:w="24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4.5</w:t>
            </w:r>
          </w:p>
        </w:tc>
        <w:tc>
          <w:tcPr>
            <w:tcW w:type="dxa" w:w="24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8.7</w:t>
            </w:r>
          </w:p>
        </w:tc>
        <w:tc>
          <w:tcPr>
            <w:tcW w:type="dxa" w:w="22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51.8%</w:t>
            </w:r>
          </w:p>
        </w:tc>
      </w:tr>
      <w:tr>
        <w:tc>
          <w:tcPr>
            <w:tcW w:type="dxa" w:w="2360"/>
            <w:tcMar>
              <w:top w:type="dxa" w:w="60"/>
              <w:left w:type="dxa" w:w="100"/>
              <w:bottom w:type="dxa" w:w="60"/>
              <w:right w:type="dxa" w:w="100"/>
            </w:tcMar>
          </w:tcPr>
          <w:p>
            <w:pPr>
              <w:spacing w:after="0" w:line="240"/>
            </w:pPr>
            <w:r>
              <w:rPr>
                <w:rFonts w:ascii="Calibri" w:cs="Calibri" w:eastAsia="Calibri" w:hAnsi="Calibri"/>
                <w:sz w:val="20"/>
                <w:szCs w:val="20"/>
              </w:rPr>
              <w:t xml:space="preserve">Lithuania</w:t>
            </w:r>
          </w:p>
        </w:tc>
        <w:tc>
          <w:tcPr>
            <w:tcW w:type="dxa" w:w="24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15.8</w:t>
            </w:r>
          </w:p>
        </w:tc>
        <w:tc>
          <w:tcPr>
            <w:tcW w:type="dxa" w:w="24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38.8</w:t>
            </w:r>
          </w:p>
        </w:tc>
        <w:tc>
          <w:tcPr>
            <w:tcW w:type="dxa" w:w="22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40.7%</w:t>
            </w:r>
          </w:p>
        </w:tc>
      </w:tr>
      <w:tr>
        <w:tc>
          <w:tcPr>
            <w:tcW w:type="dxa" w:w="2360"/>
            <w:tcMar>
              <w:top w:type="dxa" w:w="60"/>
              <w:left w:type="dxa" w:w="100"/>
              <w:bottom w:type="dxa" w:w="60"/>
              <w:right w:type="dxa" w:w="100"/>
            </w:tcMar>
          </w:tcPr>
          <w:p>
            <w:pPr>
              <w:spacing w:after="0" w:line="240"/>
            </w:pPr>
            <w:r>
              <w:rPr>
                <w:rFonts w:ascii="Calibri" w:cs="Calibri" w:eastAsia="Calibri" w:hAnsi="Calibri"/>
                <w:sz w:val="20"/>
                <w:szCs w:val="20"/>
              </w:rPr>
              <w:t xml:space="preserve">Croatia</w:t>
            </w:r>
          </w:p>
        </w:tc>
        <w:tc>
          <w:tcPr>
            <w:tcW w:type="dxa" w:w="24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8.1</w:t>
            </w:r>
          </w:p>
        </w:tc>
        <w:tc>
          <w:tcPr>
            <w:tcW w:type="dxa" w:w="24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26.0</w:t>
            </w:r>
          </w:p>
        </w:tc>
        <w:tc>
          <w:tcPr>
            <w:tcW w:type="dxa" w:w="22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31.1%</w:t>
            </w:r>
          </w:p>
        </w:tc>
      </w:tr>
      <w:tr>
        <w:tc>
          <w:tcPr>
            <w:tcW w:type="dxa" w:w="2360"/>
            <w:tcMar>
              <w:top w:type="dxa" w:w="60"/>
              <w:left w:type="dxa" w:w="100"/>
              <w:bottom w:type="dxa" w:w="60"/>
              <w:right w:type="dxa" w:w="100"/>
            </w:tcMar>
          </w:tcPr>
          <w:p>
            <w:pPr>
              <w:spacing w:after="0" w:line="240"/>
            </w:pPr>
            <w:r>
              <w:rPr>
                <w:rFonts w:ascii="Calibri" w:cs="Calibri" w:eastAsia="Calibri" w:hAnsi="Calibri"/>
                <w:sz w:val="20"/>
                <w:szCs w:val="20"/>
              </w:rPr>
              <w:t xml:space="preserve">Cyprus</w:t>
            </w:r>
          </w:p>
        </w:tc>
        <w:tc>
          <w:tcPr>
            <w:tcW w:type="dxa" w:w="24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2.1</w:t>
            </w:r>
          </w:p>
        </w:tc>
        <w:tc>
          <w:tcPr>
            <w:tcW w:type="dxa" w:w="24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7.9</w:t>
            </w:r>
          </w:p>
        </w:tc>
        <w:tc>
          <w:tcPr>
            <w:tcW w:type="dxa" w:w="22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26.6%</w:t>
            </w:r>
          </w:p>
        </w:tc>
      </w:tr>
    </w:tbl>
    <w:p>
      <w:pPr>
        <w:spacing w:after="200" w:line="276"/>
      </w:pPr>
      <w:r>
        <w:rPr>
          <w:rFonts w:ascii="Calibri" w:cs="Calibri" w:eastAsia="Calibri" w:hAnsi="Calibri"/>
          <w:i/>
          <w:iCs/>
          <w:color w:val="595959"/>
          <w:sz w:val="20"/>
          <w:szCs w:val="20"/>
        </w:rPr>
        <w:t xml:space="preserve">Liechtenstein also reports an 87.2% export share, on a tonnage too small to be meaningful.</w:t>
      </w:r>
    </w:p>
    <w:p>
      <w:pPr>
        <w:pStyle w:val="Heading1"/>
        <w:pBdr>
          <w:bottom w:val="single" w:color="1F4E5F" w:sz="6" w:space="4"/>
        </w:pBdr>
        <w:spacing w:after="160" w:before="320"/>
      </w:pPr>
      <w:r>
        <w:rPr>
          <w:rFonts w:ascii="Calibri" w:cs="Calibri" w:eastAsia="Calibri" w:hAnsi="Calibri"/>
          <w:b/>
          <w:bCs/>
          <w:color w:val="1F4E5F"/>
          <w:sz w:val="28"/>
          <w:szCs w:val="28"/>
        </w:rPr>
        <w:t xml:space="preserve">3. Anomalies — separating explained from unexplained</w:t>
      </w:r>
    </w:p>
    <w:p>
      <w:pPr>
        <w:spacing w:after="140" w:line="276"/>
      </w:pPr>
      <w:r>
        <w:rPr>
          <w:rFonts w:ascii="Calibri" w:cs="Calibri" w:eastAsia="Calibri" w:hAnsi="Calibri"/>
          <w:sz w:val="22"/>
          <w:szCs w:val="22"/>
        </w:rPr>
        <w:t xml:space="preserve">Anomalies are held in two tiers rather than one, so that a verified cause is never conflated with an unexplained outlier. 7 country-years are documented; 26 are flagged but undiagnosed.</w:t>
      </w:r>
    </w:p>
    <w:p>
      <w:pPr>
        <w:pStyle w:val="Heading2"/>
        <w:spacing w:after="100" w:before="240"/>
      </w:pPr>
      <w:r>
        <w:rPr>
          <w:rFonts w:ascii="Calibri" w:cs="Calibri" w:eastAsia="Calibri" w:hAnsi="Calibri"/>
          <w:b/>
          <w:bCs/>
          <w:color w:val="000000"/>
          <w:sz w:val="24"/>
          <w:szCs w:val="24"/>
        </w:rPr>
        <w:t xml:space="preserve">Documented, with a sourced cause</w:t>
      </w:r>
    </w:p>
    <w:p>
      <w:pPr>
        <w:pStyle w:val="ListParagraph"/>
        <w:numPr>
          <w:ilvl w:val="0"/>
          <w:numId w:val="2"/>
        </w:numPr>
        <w:spacing w:after="80" w:line="276"/>
      </w:pPr>
      <w:r>
        <w:rPr>
          <w:rFonts w:ascii="Calibri" w:cs="Calibri" w:eastAsia="Calibri" w:hAnsi="Calibri"/>
          <w:b/>
          <w:bCs/>
          <w:sz w:val="22"/>
          <w:szCs w:val="22"/>
        </w:rPr>
        <w:t xml:space="preserve">Malta 2023 — </w:t>
      </w:r>
      <w:r>
        <w:rPr>
          <w:rFonts w:ascii="Calibri" w:cs="Calibri" w:eastAsia="Calibri" w:hAnsi="Calibri"/>
          <w:sz w:val="22"/>
          <w:szCs w:val="22"/>
        </w:rPr>
        <w:t xml:space="preserve">reuse+recycling fell 84.1% → 62.8%. Material was stockpiled pending export while awaiting more favorable export pricing, not a collapse in processing capacity.</w:t>
      </w:r>
    </w:p>
    <w:p>
      <w:pPr>
        <w:pStyle w:val="ListParagraph"/>
        <w:numPr>
          <w:ilvl w:val="0"/>
          <w:numId w:val="2"/>
        </w:numPr>
        <w:spacing w:after="80" w:line="276"/>
      </w:pPr>
      <w:r>
        <w:rPr>
          <w:rFonts w:ascii="Calibri" w:cs="Calibri" w:eastAsia="Calibri" w:hAnsi="Calibri"/>
          <w:b/>
          <w:bCs/>
          <w:sz w:val="22"/>
          <w:szCs w:val="22"/>
        </w:rPr>
        <w:t xml:space="preserve">Greece 2015 and 2019 — </w:t>
      </w:r>
      <w:r>
        <w:rPr>
          <w:rFonts w:ascii="Calibri" w:cs="Calibri" w:eastAsia="Calibri" w:hAnsi="Calibri"/>
          <w:sz w:val="22"/>
          <w:szCs w:val="22"/>
        </w:rPr>
        <w:t xml:space="preserve">rates dropped to 64.5%/68.9% and 69.7%/77.2%. Per Eurostat's Statistics Explained article, low scrap-metal prices caused temporary stockpiling at dismantling sites. Same mechanism as Malta, triggered by metal prices rather than export timing.</w:t>
      </w:r>
    </w:p>
    <w:p>
      <w:pPr>
        <w:pStyle w:val="ListParagraph"/>
        <w:numPr>
          <w:ilvl w:val="0"/>
          <w:numId w:val="2"/>
        </w:numPr>
        <w:spacing w:after="80" w:line="276"/>
      </w:pPr>
      <w:r>
        <w:rPr>
          <w:rFonts w:ascii="Calibri" w:cs="Calibri" w:eastAsia="Calibri" w:hAnsi="Calibri"/>
          <w:b/>
          <w:bCs/>
          <w:sz w:val="22"/>
          <w:szCs w:val="22"/>
        </w:rPr>
        <w:t xml:space="preserve">Poland 2019–2020 — </w:t>
      </w:r>
      <w:r>
        <w:rPr>
          <w:rFonts w:ascii="Calibri" w:cs="Calibri" w:eastAsia="Calibri" w:hAnsi="Calibri"/>
          <w:sz w:val="22"/>
          <w:szCs w:val="22"/>
        </w:rPr>
        <w:t xml:space="preserve">rates exceeded 100% (up to 122.2%). Backlog clearing: more tonnage processed in the year than was newly generated.</w:t>
      </w:r>
    </w:p>
    <w:p>
      <w:pPr>
        <w:pStyle w:val="ListParagraph"/>
        <w:numPr>
          <w:ilvl w:val="0"/>
          <w:numId w:val="2"/>
        </w:numPr>
        <w:spacing w:after="80" w:line="276"/>
      </w:pPr>
      <w:r>
        <w:rPr>
          <w:rFonts w:ascii="Calibri" w:cs="Calibri" w:eastAsia="Calibri" w:hAnsi="Calibri"/>
          <w:b/>
          <w:bCs/>
          <w:sz w:val="22"/>
          <w:szCs w:val="22"/>
        </w:rPr>
        <w:t xml:space="preserve">Denmark 2019–2020 — </w:t>
      </w:r>
      <w:r>
        <w:rPr>
          <w:rFonts w:ascii="Calibri" w:cs="Calibri" w:eastAsia="Calibri" w:hAnsi="Calibri"/>
          <w:sz w:val="22"/>
          <w:szCs w:val="22"/>
        </w:rPr>
        <w:t xml:space="preserve">reuse+recovery reached ~102% while recycling stayed normal (~94.7%). The same backlog-clearing mechanism, at much smaller scale.</w:t>
      </w:r>
    </w:p>
    <w:p>
      <w:pPr>
        <w:spacing w:after="160" w:line="276"/>
      </w:pPr>
      <w:r>
        <w:rPr>
          <w:rFonts w:ascii="Calibri" w:cs="Calibri" w:eastAsia="Calibri" w:hAnsi="Calibri"/>
          <w:i/>
          <w:iCs/>
          <w:color w:val="595959"/>
          <w:sz w:val="20"/>
          <w:szCs w:val="20"/>
        </w:rPr>
        <w:t xml:space="preserve">The common thread worth saying out loud: rates above 100% and sudden drops usually reflect the timing of stockpiling and backlog clearing, not real swings in recycling performance. Stockpiling in particular is frequently a response to price — scrap-metal or export — which links the environmental statistic directly to market conditions.</w:t>
      </w:r>
    </w:p>
    <w:p>
      <w:pPr>
        <w:pStyle w:val="Heading2"/>
        <w:spacing w:after="100" w:before="240"/>
      </w:pPr>
      <w:r>
        <w:rPr>
          <w:rFonts w:ascii="Calibri" w:cs="Calibri" w:eastAsia="Calibri" w:hAnsi="Calibri"/>
          <w:b/>
          <w:bCs/>
          <w:color w:val="000000"/>
          <w:sz w:val="24"/>
          <w:szCs w:val="24"/>
        </w:rPr>
        <w:t xml:space="preserve">Flagged but undiagnosed — 26 country-years</w:t>
      </w:r>
    </w:p>
    <w:p>
      <w:pPr>
        <w:spacing w:after="100" w:line="276"/>
      </w:pPr>
      <w:r>
        <w:rPr>
          <w:rFonts w:ascii="Calibri" w:cs="Calibri" w:eastAsia="Calibri" w:hAnsi="Calibri"/>
          <w:sz w:val="22"/>
          <w:szCs w:val="22"/>
        </w:rPr>
        <w:t xml:space="preserve">Rates above 100% or year-on-year swings greater than 15 points, with no verified external cause on record: Czechia, Slovenia, Germany (2010–2014), Liechtenstein, Iceland, and Greece's 2016 spike to an exactly round 100.0% carrying an "estimated" flag.</w:t>
      </w:r>
    </w:p>
    <w:p>
      <w:pPr>
        <w:spacing w:after="200" w:line="276"/>
      </w:pPr>
      <w:r>
        <w:rPr>
          <w:rFonts w:ascii="Calibri" w:cs="Calibri" w:eastAsia="Calibri" w:hAnsi="Calibri"/>
          <w:i/>
          <w:iCs/>
          <w:color w:val="595959"/>
          <w:sz w:val="20"/>
          <w:szCs w:val="20"/>
        </w:rPr>
        <w:t xml:space="preserve">These are disclosed as their own category rather than folded in with the documented cases or presented at face value. If asked: we can say what is unusual, not why.</w:t>
      </w:r>
    </w:p>
    <w:p>
      <w:pPr>
        <w:pStyle w:val="Heading1"/>
        <w:pBdr>
          <w:bottom w:val="single" w:color="1F4E5F" w:sz="6" w:space="4"/>
        </w:pBdr>
        <w:spacing w:after="160" w:before="320"/>
      </w:pPr>
      <w:r>
        <w:rPr>
          <w:rFonts w:ascii="Calibri" w:cs="Calibri" w:eastAsia="Calibri" w:hAnsi="Calibri"/>
          <w:b/>
          <w:bCs/>
          <w:color w:val="1F4E5F"/>
          <w:sz w:val="28"/>
          <w:szCs w:val="28"/>
        </w:rPr>
        <w:t xml:space="preserve">4. How to read the numbers — units, terms and caveats</w:t>
      </w:r>
    </w:p>
    <w:p>
      <w:pPr>
        <w:pStyle w:val="Heading2"/>
        <w:spacing w:after="100" w:before="240"/>
      </w:pPr>
      <w:r>
        <w:rPr>
          <w:rFonts w:ascii="Calibri" w:cs="Calibri" w:eastAsia="Calibri" w:hAnsi="Calibri"/>
          <w:b/>
          <w:bCs/>
          <w:color w:val="000000"/>
          <w:sz w:val="24"/>
          <w:szCs w:val="24"/>
        </w:rPr>
        <w:t xml:space="preserve">Units</w:t>
      </w:r>
    </w:p>
    <w:p>
      <w:pPr>
        <w:pStyle w:val="ListParagraph"/>
        <w:numPr>
          <w:ilvl w:val="0"/>
          <w:numId w:val="2"/>
        </w:numPr>
        <w:spacing w:after="80" w:line="276"/>
      </w:pPr>
      <w:r>
        <w:rPr>
          <w:rFonts w:ascii="Calibri" w:cs="Calibri" w:eastAsia="Calibri" w:hAnsi="Calibri"/>
          <w:b/>
          <w:bCs/>
          <w:sz w:val="22"/>
          <w:szCs w:val="22"/>
        </w:rPr>
        <w:t xml:space="preserve">Tonne = 1,000 kg </w:t>
      </w:r>
      <w:r>
        <w:rPr>
          <w:rFonts w:ascii="Calibri" w:cs="Calibri" w:eastAsia="Calibri" w:hAnsi="Calibri"/>
          <w:sz w:val="22"/>
          <w:szCs w:val="22"/>
        </w:rPr>
        <w:t xml:space="preserve">(a metric ton, about 2,205 lb). It is a measure of weight — the mass of the vehicles and of the material recovered from them — not a count of vehicles.</w:t>
      </w:r>
    </w:p>
    <w:p>
      <w:pPr>
        <w:pStyle w:val="ListParagraph"/>
        <w:numPr>
          <w:ilvl w:val="0"/>
          <w:numId w:val="2"/>
        </w:numPr>
        <w:spacing w:after="80" w:line="276"/>
      </w:pPr>
      <w:r>
        <w:rPr>
          <w:rFonts w:ascii="Calibri" w:cs="Calibri" w:eastAsia="Calibri" w:hAnsi="Calibri"/>
          <w:b/>
          <w:bCs/>
          <w:sz w:val="22"/>
          <w:szCs w:val="22"/>
        </w:rPr>
        <w:t xml:space="preserve">kt = kilotonne = 1,000 tonnes. </w:t>
      </w:r>
      <w:r>
        <w:rPr>
          <w:rFonts w:ascii="Calibri" w:cs="Calibri" w:eastAsia="Calibri" w:hAnsi="Calibri"/>
          <w:sz w:val="22"/>
          <w:szCs w:val="22"/>
        </w:rPr>
        <w:t xml:space="preserve">Used in the tables above because the underlying figures run to seven digits. 375 kt = 375,000 tonnes.</w:t>
      </w:r>
    </w:p>
    <w:p>
      <w:pPr>
        <w:pStyle w:val="ListParagraph"/>
        <w:numPr>
          <w:ilvl w:val="0"/>
          <w:numId w:val="2"/>
        </w:numPr>
        <w:spacing w:after="80" w:line="276"/>
      </w:pPr>
      <w:r>
        <w:rPr>
          <w:rFonts w:ascii="Calibri" w:cs="Calibri" w:eastAsia="Calibri" w:hAnsi="Calibri"/>
          <w:b/>
          <w:bCs/>
          <w:sz w:val="22"/>
          <w:szCs w:val="22"/>
        </w:rPr>
        <w:t xml:space="preserve">Eurostat reports three units, and only one is weight: </w:t>
      </w:r>
      <w:r>
        <w:rPr>
          <w:rFonts w:ascii="Calibri" w:cs="Calibri" w:eastAsia="Calibri" w:hAnsi="Calibri"/>
          <w:sz w:val="22"/>
          <w:szCs w:val="22"/>
        </w:rPr>
        <w:t xml:space="preserve">T (tonnes), NR (number of vehicles), and PC (percentage — the recycling and recovery rates). The detailed export dataset is entirely in tonnes, so every export figure in this document is a weight.</w:t>
      </w:r>
    </w:p>
    <w:p>
      <w:pPr>
        <w:spacing w:after="200" w:line="276"/>
      </w:pPr>
      <w:r>
        <w:rPr>
          <w:rFonts w:ascii="Calibri" w:cs="Calibri" w:eastAsia="Calibri" w:hAnsi="Calibri"/>
          <w:i/>
          <w:iCs/>
          <w:color w:val="595959"/>
          <w:sz w:val="20"/>
          <w:szCs w:val="20"/>
        </w:rPr>
        <w:t xml:space="preserve">For scale: in 2023, reporting countries generated 5.12 million tonnes of end-of-life vehicles across 4.3 million vehicles — an average of about 1.19 tonnes (1,192 kg) per vehicle, which is what one would expect for a scrapped European car. That average is a plausibility check derived from two separately reported series, not a Eurostat statistic.</w:t>
      </w:r>
    </w:p>
    <w:p>
      <w:pPr>
        <w:pStyle w:val="Heading2"/>
        <w:spacing w:after="100" w:before="240"/>
      </w:pPr>
      <w:r>
        <w:rPr>
          <w:rFonts w:ascii="Calibri" w:cs="Calibri" w:eastAsia="Calibri" w:hAnsi="Calibri"/>
          <w:b/>
          <w:bCs/>
          <w:color w:val="000000"/>
          <w:sz w:val="24"/>
          <w:szCs w:val="24"/>
        </w:rPr>
        <w:t xml:space="preserve">Terms</w:t>
      </w:r>
    </w:p>
    <w:p>
      <w:pPr>
        <w:pStyle w:val="ListParagraph"/>
        <w:numPr>
          <w:ilvl w:val="0"/>
          <w:numId w:val="2"/>
        </w:numPr>
        <w:spacing w:after="80" w:line="276"/>
      </w:pPr>
      <w:r>
        <w:rPr>
          <w:rFonts w:ascii="Calibri" w:cs="Calibri" w:eastAsia="Calibri" w:hAnsi="Calibri"/>
          <w:b/>
          <w:bCs/>
          <w:sz w:val="22"/>
          <w:szCs w:val="22"/>
        </w:rPr>
        <w:t xml:space="preserve">EU27 (Eurostat code EU27_2020) = the European Union's 27 member states as constituted from 2020, </w:t>
      </w:r>
      <w:r>
        <w:rPr>
          <w:rFonts w:ascii="Calibri" w:cs="Calibri" w:eastAsia="Calibri" w:hAnsi="Calibri"/>
          <w:sz w:val="22"/>
          <w:szCs w:val="22"/>
        </w:rPr>
        <w:t xml:space="preserve">i.e. after the United Kingdom's departure. Eurostat's full label is "European Union – 27 countries (from 2020)."</w:t>
      </w:r>
    </w:p>
    <w:p>
      <w:pPr>
        <w:pStyle w:val="ListParagraph"/>
        <w:numPr>
          <w:ilvl w:val="0"/>
          <w:numId w:val="2"/>
        </w:numPr>
        <w:spacing w:after="80" w:line="276"/>
      </w:pPr>
      <w:r>
        <w:rPr>
          <w:rFonts w:ascii="Calibri" w:cs="Calibri" w:eastAsia="Calibri" w:hAnsi="Calibri"/>
          <w:b/>
          <w:bCs/>
          <w:sz w:val="22"/>
          <w:szCs w:val="22"/>
        </w:rPr>
        <w:t xml:space="preserve">"From 2020" describes the membership, not the years covered. </w:t>
      </w:r>
      <w:r>
        <w:rPr>
          <w:rFonts w:ascii="Calibri" w:cs="Calibri" w:eastAsia="Calibri" w:hAnsi="Calibri"/>
          <w:sz w:val="22"/>
          <w:szCs w:val="22"/>
        </w:rPr>
        <w:t xml:space="preserve">The series runs 2006–2023 on that same 27-country basis throughout, so the 2006 figure is those 27 countries measured in 2006 — not the EU as it existed then. Eurostat back-casts deliberately, to keep the series comparable across Brexit and earlier enlargements. This is why the UK appears nowhere in the data.</w:t>
      </w:r>
    </w:p>
    <w:p>
      <w:pPr>
        <w:pStyle w:val="ListParagraph"/>
        <w:numPr>
          <w:ilvl w:val="0"/>
          <w:numId w:val="2"/>
        </w:numPr>
        <w:spacing w:after="80" w:line="276"/>
      </w:pPr>
      <w:r>
        <w:rPr>
          <w:rFonts w:ascii="Calibri" w:cs="Calibri" w:eastAsia="Calibri" w:hAnsi="Calibri"/>
          <w:b/>
          <w:bCs/>
          <w:sz w:val="22"/>
          <w:szCs w:val="22"/>
        </w:rPr>
        <w:t xml:space="preserve">EU27 is a published row, not a sum of the countries shown. </w:t>
      </w:r>
      <w:r>
        <w:rPr>
          <w:rFonts w:ascii="Calibri" w:cs="Calibri" w:eastAsia="Calibri" w:hAnsi="Calibri"/>
          <w:sz w:val="22"/>
          <w:szCs w:val="22"/>
        </w:rPr>
        <w:t xml:space="preserve">For 2023: the EU27 row reports 5,044,000 t; summing the EU member countries gives 4,960,373 t; summing every entity in the dataset gives 5,121,446 t. The last is higher because the data also covers Iceland, Liechtenstein and Norway. The ~1.7% gap between the first two reflects Eurostat's own estimation and rounding — note the round 5,044,000.</w:t>
      </w:r>
    </w:p>
    <w:p>
      <w:pPr>
        <w:spacing w:after="200" w:line="276"/>
      </w:pPr>
      <w:r>
        <w:rPr>
          <w:rFonts w:ascii="Calibri" w:cs="Calibri" w:eastAsia="Calibri" w:hAnsi="Calibri"/>
          <w:i/>
          <w:iCs/>
          <w:color w:val="595959"/>
          <w:sz w:val="20"/>
          <w:szCs w:val="20"/>
        </w:rPr>
        <w:t xml:space="preserve">Practical rule: quote the EU27 row when you mean "the EU," and sum countries when you want per-country detail — but say which you did. Mixing the two is the single easiest way to produce a wrong number from this dataset.</w:t>
      </w:r>
    </w:p>
    <w:p>
      <w:pPr>
        <w:pStyle w:val="Heading2"/>
        <w:spacing w:after="100" w:before="240"/>
      </w:pPr>
      <w:r>
        <w:rPr>
          <w:rFonts w:ascii="Calibri" w:cs="Calibri" w:eastAsia="Calibri" w:hAnsi="Calibri"/>
          <w:b/>
          <w:bCs/>
          <w:color w:val="000000"/>
          <w:sz w:val="24"/>
          <w:szCs w:val="24"/>
        </w:rPr>
        <w:t xml:space="preserve">Caveats</w:t>
      </w:r>
    </w:p>
    <w:p>
      <w:pPr>
        <w:pStyle w:val="ListParagraph"/>
        <w:numPr>
          <w:ilvl w:val="0"/>
          <w:numId w:val="2"/>
        </w:numPr>
        <w:spacing w:after="80" w:line="276"/>
      </w:pPr>
      <w:r>
        <w:rPr>
          <w:rFonts w:ascii="Calibri" w:cs="Calibri" w:eastAsia="Calibri" w:hAnsi="Calibri"/>
          <w:b/>
          <w:bCs/>
          <w:sz w:val="22"/>
          <w:szCs w:val="22"/>
        </w:rPr>
        <w:t xml:space="preserve">"No data" is not "target missed." </w:t>
      </w:r>
      <w:r>
        <w:rPr>
          <w:rFonts w:ascii="Calibri" w:cs="Calibri" w:eastAsia="Calibri" w:hAnsi="Calibri"/>
          <w:sz w:val="22"/>
          <w:szCs w:val="22"/>
        </w:rPr>
        <w:t xml:space="preserve">Where a rate is unavailable, target attainment is left null rather than false. Treating gaps as failures would misrepresent countries with late accession or reporting gaps — Croatia, Malta, Romania, Iceland.</w:t>
      </w:r>
    </w:p>
    <w:p>
      <w:pPr>
        <w:pStyle w:val="ListParagraph"/>
        <w:numPr>
          <w:ilvl w:val="0"/>
          <w:numId w:val="2"/>
        </w:numPr>
        <w:spacing w:after="80" w:line="276"/>
      </w:pPr>
      <w:r>
        <w:rPr>
          <w:rFonts w:ascii="Calibri" w:cs="Calibri" w:eastAsia="Calibri" w:hAnsi="Calibri"/>
          <w:b/>
          <w:bCs/>
          <w:sz w:val="22"/>
          <w:szCs w:val="22"/>
        </w:rPr>
        <w:t xml:space="preserve">Three independent data-quality flags, not one status. </w:t>
      </w:r>
      <w:r>
        <w:rPr>
          <w:rFonts w:ascii="Calibri" w:cs="Calibri" w:eastAsia="Calibri" w:hAnsi="Calibri"/>
          <w:sz w:val="22"/>
          <w:szCs w:val="22"/>
        </w:rPr>
        <w:t xml:space="preserve">Estimated, imputed, and low-reliability are tracked separately because a single observation can be estimated and low-reliability at once.</w:t>
      </w:r>
    </w:p>
    <w:p>
      <w:pPr>
        <w:pStyle w:val="ListParagraph"/>
        <w:numPr>
          <w:ilvl w:val="0"/>
          <w:numId w:val="2"/>
        </w:numPr>
        <w:spacing w:after="80" w:line="276"/>
      </w:pPr>
      <w:r>
        <w:rPr>
          <w:rFonts w:ascii="Calibri" w:cs="Calibri" w:eastAsia="Calibri" w:hAnsi="Calibri"/>
          <w:b/>
          <w:bCs/>
          <w:sz w:val="22"/>
          <w:szCs w:val="22"/>
        </w:rPr>
        <w:t xml:space="preserve">EU27 is an aggregate, not a country. </w:t>
      </w:r>
      <w:r>
        <w:rPr>
          <w:rFonts w:ascii="Calibri" w:cs="Calibri" w:eastAsia="Calibri" w:hAnsi="Calibri"/>
          <w:sz w:val="22"/>
          <w:szCs w:val="22"/>
        </w:rPr>
        <w:t xml:space="preserve">It is tagged as such and excluded from country-level comparisons, but retained for the EU trend view — otherwise "the EU" would appear in a country ranking as though it were one.</w:t>
      </w:r>
    </w:p>
    <w:p>
      <w:pPr>
        <w:pStyle w:val="ListParagraph"/>
        <w:numPr>
          <w:ilvl w:val="0"/>
          <w:numId w:val="2"/>
        </w:numPr>
        <w:spacing w:after="80" w:line="276"/>
      </w:pPr>
      <w:r>
        <w:rPr>
          <w:rFonts w:ascii="Calibri" w:cs="Calibri" w:eastAsia="Calibri" w:hAnsi="Calibri"/>
          <w:b/>
          <w:bCs/>
          <w:sz w:val="22"/>
          <w:szCs w:val="22"/>
        </w:rPr>
        <w:t xml:space="preserve">Coverage extends beyond the EU. </w:t>
      </w:r>
      <w:r>
        <w:rPr>
          <w:rFonts w:ascii="Calibri" w:cs="Calibri" w:eastAsia="Calibri" w:hAnsi="Calibri"/>
          <w:sz w:val="22"/>
          <w:szCs w:val="22"/>
        </w:rPr>
        <w:t xml:space="preserve">Iceland, Liechtenstein and Norway are bound by the ELV Directive through the EEA Agreement — included, but flagged as non-EU members.</w:t>
      </w:r>
    </w:p>
    <w:p>
      <w:pPr>
        <w:pStyle w:val="ListParagraph"/>
        <w:numPr>
          <w:ilvl w:val="0"/>
          <w:numId w:val="2"/>
        </w:numPr>
        <w:spacing w:after="80" w:line="276"/>
      </w:pPr>
      <w:r>
        <w:rPr>
          <w:rFonts w:ascii="Calibri" w:cs="Calibri" w:eastAsia="Calibri" w:hAnsi="Calibri"/>
          <w:b/>
          <w:bCs/>
          <w:sz w:val="22"/>
          <w:szCs w:val="22"/>
        </w:rPr>
        <w:t xml:space="preserve">Greece is the one country-code reconciliation. </w:t>
      </w:r>
      <w:r>
        <w:rPr>
          <w:rFonts w:ascii="Calibri" w:cs="Calibri" w:eastAsia="Calibri" w:hAnsi="Calibri"/>
          <w:sz w:val="22"/>
          <w:szCs w:val="22"/>
        </w:rPr>
        <w:t xml:space="preserve">Eurostat uses EL; ISO 3166-1 uses GR. Every other code matches.</w:t>
      </w:r>
    </w:p>
    <w:p>
      <w:pPr>
        <w:pStyle w:val="ListParagraph"/>
        <w:numPr>
          <w:ilvl w:val="0"/>
          <w:numId w:val="2"/>
        </w:numPr>
        <w:spacing w:after="80" w:line="276"/>
      </w:pPr>
      <w:r>
        <w:rPr>
          <w:rFonts w:ascii="Calibri" w:cs="Calibri" w:eastAsia="Calibri" w:hAnsi="Calibri"/>
          <w:b/>
          <w:bCs/>
          <w:sz w:val="22"/>
          <w:szCs w:val="22"/>
        </w:rPr>
        <w:t xml:space="preserve">Beware the EU27 aggregate row for exports. </w:t>
      </w:r>
      <w:r>
        <w:rPr>
          <w:rFonts w:ascii="Calibri" w:cs="Calibri" w:eastAsia="Calibri" w:hAnsi="Calibri"/>
          <w:sz w:val="22"/>
          <w:szCs w:val="22"/>
        </w:rPr>
        <w:t xml:space="preserve">Eurostat publishes an aggregate export figure only for 2020 and 2023, though 28–31 individual countries report exports every year. Reading the aggregate directly makes exports appear to vanish in 2019, 2021 and 2022. The export figures in this document are summed from country rows for that reason.</w:t>
      </w:r>
    </w:p>
    <w:p>
      <w:pPr>
        <w:pStyle w:val="Heading1"/>
        <w:pBdr>
          <w:bottom w:val="single" w:color="1F4E5F" w:sz="6" w:space="4"/>
        </w:pBdr>
        <w:spacing w:after="160" w:before="320"/>
      </w:pPr>
      <w:r>
        <w:rPr>
          <w:rFonts w:ascii="Calibri" w:cs="Calibri" w:eastAsia="Calibri" w:hAnsi="Calibri"/>
          <w:b/>
          <w:bCs/>
          <w:color w:val="1F4E5F"/>
          <w:sz w:val="28"/>
          <w:szCs w:val="28"/>
        </w:rPr>
        <w:t xml:space="preserve">5. Data provenance — why these figures can be relied on</w:t>
      </w:r>
    </w:p>
    <w:p>
      <w:pPr>
        <w:pStyle w:val="ListParagraph"/>
        <w:numPr>
          <w:ilvl w:val="0"/>
          <w:numId w:val="2"/>
        </w:numPr>
        <w:spacing w:after="80" w:line="276"/>
      </w:pPr>
      <w:r>
        <w:rPr>
          <w:rFonts w:ascii="Calibri" w:cs="Calibri" w:eastAsia="Calibri" w:hAnsi="Calibri"/>
          <w:b/>
          <w:bCs/>
          <w:sz w:val="22"/>
          <w:szCs w:val="22"/>
        </w:rPr>
        <w:t xml:space="preserve">The pipeline now pulls directly from Eurostat's SDMX API </w:t>
      </w:r>
      <w:r>
        <w:rPr>
          <w:rFonts w:ascii="Calibri" w:cs="Calibri" w:eastAsia="Calibri" w:hAnsi="Calibri"/>
          <w:sz w:val="22"/>
          <w:szCs w:val="22"/>
        </w:rPr>
        <w:t xml:space="preserve">rather than a hand-downloaded export, so the figures can be refreshed on demand instead of re-exported by hand.</w:t>
      </w:r>
    </w:p>
    <w:p>
      <w:pPr>
        <w:pStyle w:val="ListParagraph"/>
        <w:numPr>
          <w:ilvl w:val="0"/>
          <w:numId w:val="2"/>
        </w:numPr>
        <w:spacing w:after="80" w:line="276"/>
      </w:pPr>
      <w:r>
        <w:rPr>
          <w:rFonts w:ascii="Calibri" w:cs="Calibri" w:eastAsia="Calibri" w:hAnsi="Calibri"/>
          <w:b/>
          <w:bCs/>
          <w:sz w:val="22"/>
          <w:szCs w:val="22"/>
        </w:rPr>
        <w:t xml:space="preserve">The automated pull was validated against the hand-checked data at the value level, </w:t>
      </w:r>
      <w:r>
        <w:rPr>
          <w:rFonts w:ascii="Calibri" w:cs="Calibri" w:eastAsia="Calibri" w:hAnsi="Calibri"/>
          <w:sz w:val="22"/>
          <w:szCs w:val="22"/>
        </w:rPr>
        <w:t xml:space="preserve">not just by row count: 4,305 and 30,268 observations compared cell by cell, with zero differences on every shared field. A deliberately corrupted control run confirmed the comparison would in fact detect differences.</w:t>
      </w:r>
    </w:p>
    <w:p>
      <w:pPr>
        <w:pStyle w:val="ListParagraph"/>
        <w:numPr>
          <w:ilvl w:val="0"/>
          <w:numId w:val="2"/>
        </w:numPr>
        <w:spacing w:after="80" w:line="276"/>
      </w:pPr>
      <w:r>
        <w:rPr>
          <w:rFonts w:ascii="Calibri" w:cs="Calibri" w:eastAsia="Calibri" w:hAnsi="Calibri"/>
          <w:b/>
          <w:bCs/>
          <w:sz w:val="22"/>
          <w:szCs w:val="22"/>
        </w:rPr>
        <w:t xml:space="preserve">Category labels now come from Eurostat's own codelists. </w:t>
      </w:r>
      <w:r>
        <w:rPr>
          <w:rFonts w:ascii="Calibri" w:cs="Calibri" w:eastAsia="Calibri" w:hAnsi="Calibri"/>
          <w:sz w:val="22"/>
          <w:szCs w:val="22"/>
        </w:rPr>
        <w:t xml:space="preserve">All 29 codes in use resolve to labels identical to the previous export, so no published figure or label changed in the transition.</w:t>
      </w:r>
    </w:p>
    <w:p>
      <w:pPr>
        <w:pStyle w:val="ListParagraph"/>
        <w:numPr>
          <w:ilvl w:val="0"/>
          <w:numId w:val="2"/>
        </w:numPr>
        <w:spacing w:after="80" w:line="276"/>
      </w:pPr>
      <w:r>
        <w:rPr>
          <w:rFonts w:ascii="Calibri" w:cs="Calibri" w:eastAsia="Calibri" w:hAnsi="Calibri"/>
          <w:b/>
          <w:bCs/>
          <w:color w:val="8A4B00"/>
          <w:sz w:val="22"/>
          <w:szCs w:val="22"/>
        </w:rPr>
        <w:t xml:space="preserve">Known limitation, stated plainly: </w:t>
      </w:r>
      <w:r>
        <w:rPr>
          <w:rFonts w:ascii="Calibri" w:cs="Calibri" w:eastAsia="Calibri" w:hAnsi="Calibri"/>
          <w:color w:val="8A4B00"/>
          <w:sz w:val="22"/>
          <w:szCs w:val="22"/>
        </w:rPr>
        <w:t xml:space="preserve">both sources carry the same Eurostat vintage (last updated 28 April 2026). The comparison validates the collection path; it has not yet been tested across a Eurostat republication.</w:t>
      </w:r>
    </w:p>
    <w:p>
      <w:pPr>
        <w:pStyle w:val="Heading1"/>
        <w:pBdr>
          <w:bottom w:val="single" w:color="1F4E5F" w:sz="6" w:space="4"/>
        </w:pBdr>
        <w:spacing w:after="160" w:before="320"/>
      </w:pPr>
      <w:r>
        <w:rPr>
          <w:rFonts w:ascii="Calibri" w:cs="Calibri" w:eastAsia="Calibri" w:hAnsi="Calibri"/>
          <w:b/>
          <w:bCs/>
          <w:color w:val="1F4E5F"/>
          <w:sz w:val="28"/>
          <w:szCs w:val="28"/>
        </w:rPr>
        <w:t xml:space="preserve">6. Likely questions</w:t>
      </w:r>
    </w:p>
    <w:p>
      <w:pPr>
        <w:spacing w:after="40" w:line="276"/>
      </w:pPr>
      <w:r>
        <w:rPr>
          <w:rFonts w:ascii="Calibri" w:cs="Calibri" w:eastAsia="Calibri" w:hAnsi="Calibri"/>
          <w:b/>
          <w:bCs/>
          <w:sz w:val="22"/>
          <w:szCs w:val="22"/>
        </w:rPr>
        <w:t xml:space="preserve">Are recycling targets being met?</w:t>
      </w:r>
    </w:p>
    <w:p>
      <w:pPr>
        <w:spacing w:after="140" w:line="276"/>
        <w:ind w:left="260"/>
      </w:pPr>
      <w:r>
        <w:rPr>
          <w:rFonts w:ascii="Calibri" w:cs="Calibri" w:eastAsia="Calibri" w:hAnsi="Calibri"/>
          <w:sz w:val="22"/>
          <w:szCs w:val="22"/>
        </w:rPr>
        <w:t xml:space="preserve">Recycling, broadly yes — 26 of 29 countries in 2023. Recovery is the weak point: 10 countries missed it, and the EU27 aggregate itself sits at 93.7% against a 95% target.</w:t>
      </w:r>
    </w:p>
    <w:p>
      <w:pPr>
        <w:spacing w:after="40" w:line="276"/>
      </w:pPr>
      <w:r>
        <w:rPr>
          <w:rFonts w:ascii="Calibri" w:cs="Calibri" w:eastAsia="Calibri" w:hAnsi="Calibri"/>
          <w:b/>
          <w:bCs/>
          <w:sz w:val="22"/>
          <w:szCs w:val="22"/>
        </w:rPr>
        <w:t xml:space="preserve">Can a rate exceed 100%?</w:t>
      </w:r>
    </w:p>
    <w:p>
      <w:pPr>
        <w:spacing w:after="140" w:line="276"/>
        <w:ind w:left="260"/>
      </w:pPr>
      <w:r>
        <w:rPr>
          <w:rFonts w:ascii="Calibri" w:cs="Calibri" w:eastAsia="Calibri" w:hAnsi="Calibri"/>
          <w:sz w:val="22"/>
          <w:szCs w:val="22"/>
        </w:rPr>
        <w:t xml:space="preserve">Yes, and it does. It means more tonnage was processed in the year than was newly generated — backlog clearing from previously stockpiled vehicles. Poland reached 122.2% in 2019.</w:t>
      </w:r>
    </w:p>
    <w:p>
      <w:pPr>
        <w:spacing w:after="40" w:line="276"/>
      </w:pPr>
      <w:r>
        <w:rPr>
          <w:rFonts w:ascii="Calibri" w:cs="Calibri" w:eastAsia="Calibri" w:hAnsi="Calibri"/>
          <w:b/>
          <w:bCs/>
          <w:sz w:val="22"/>
          <w:szCs w:val="22"/>
        </w:rPr>
        <w:t xml:space="preserve">Does a high recycling rate mean the vehicles were recycled domestically?</w:t>
      </w:r>
    </w:p>
    <w:p>
      <w:pPr>
        <w:spacing w:after="140" w:line="276"/>
        <w:ind w:left="260"/>
      </w:pPr>
      <w:r>
        <w:rPr>
          <w:rFonts w:ascii="Calibri" w:cs="Calibri" w:eastAsia="Calibri" w:hAnsi="Calibri"/>
          <w:sz w:val="22"/>
          <w:szCs w:val="22"/>
        </w:rPr>
        <w:t xml:space="preserve">Not necessarily. Reported rates can include exported tonnage. For Iceland, Luxembourg and Malta, export is the dominant route, so their headline rates say little about domestic processing.</w:t>
      </w:r>
    </w:p>
    <w:p>
      <w:pPr>
        <w:spacing w:after="40" w:line="276"/>
      </w:pPr>
      <w:r>
        <w:rPr>
          <w:rFonts w:ascii="Calibri" w:cs="Calibri" w:eastAsia="Calibri" w:hAnsi="Calibri"/>
          <w:b/>
          <w:bCs/>
          <w:sz w:val="22"/>
          <w:szCs w:val="22"/>
        </w:rPr>
        <w:t xml:space="preserve">Why did Malta's rate collapse in 2023?</w:t>
      </w:r>
    </w:p>
    <w:p>
      <w:pPr>
        <w:spacing w:after="140" w:line="276"/>
        <w:ind w:left="260"/>
      </w:pPr>
      <w:r>
        <w:rPr>
          <w:rFonts w:ascii="Calibri" w:cs="Calibri" w:eastAsia="Calibri" w:hAnsi="Calibri"/>
          <w:sz w:val="22"/>
          <w:szCs w:val="22"/>
        </w:rPr>
        <w:t xml:space="preserve">Stockpiling pending export while awaiting better export pricing — a timing effect, not lost capacity. Greece shows the same mechanism in 2015 and 2019, driven by scrap-metal prices.</w:t>
      </w:r>
    </w:p>
    <w:p>
      <w:pPr>
        <w:spacing w:after="40" w:line="276"/>
      </w:pPr>
      <w:r>
        <w:rPr>
          <w:rFonts w:ascii="Calibri" w:cs="Calibri" w:eastAsia="Calibri" w:hAnsi="Calibri"/>
          <w:b/>
          <w:bCs/>
          <w:sz w:val="22"/>
          <w:szCs w:val="22"/>
        </w:rPr>
        <w:t xml:space="preserve">How current is this?</w:t>
      </w:r>
    </w:p>
    <w:p>
      <w:pPr>
        <w:spacing w:after="140" w:line="276"/>
        <w:ind w:left="260"/>
      </w:pPr>
      <w:r>
        <w:rPr>
          <w:rFonts w:ascii="Calibri" w:cs="Calibri" w:eastAsia="Calibri" w:hAnsi="Calibri"/>
          <w:sz w:val="22"/>
          <w:szCs w:val="22"/>
        </w:rPr>
        <w:t xml:space="preserve">Data runs 2005–2023, Eurostat vintage 28 April 2026. The pipeline can refresh on demand.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2026-08-14T03:08:55.190Z</dcterms:created>
  <dcterms:modified xsi:type="dcterms:W3CDTF">2026-08-14T03:08:55.191Z</dcterms:modified>
</cp:coreProperties>
</file>

<file path=docProps/custom.xml><?xml version="1.0" encoding="utf-8"?>
<Properties xmlns="http://schemas.openxmlformats.org/officeDocument/2006/custom-properties" xmlns:vt="http://schemas.openxmlformats.org/officeDocument/2006/docPropsVTypes"/>
</file>