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F4E5F"/>
          <w:sz w:val="32"/>
          <w:szCs w:val="32"/>
        </w:rPr>
        <w:t xml:space="preserve">EU ELV Capstone - Source Data Reference</w:t>
      </w:r>
    </w:p>
    <w:p>
      <w:pPr>
        <w:spacing w:after="30" w:line="270"/>
      </w:pPr>
      <w:r>
        <w:rPr>
          <w:rFonts w:ascii="Calibri" w:cs="Calibri" w:eastAsia="Calibri" w:hAnsi="Calibri"/>
          <w:color w:val="595959"/>
          <w:sz w:val="20"/>
          <w:szCs w:val="20"/>
        </w:rPr>
        <w:t xml:space="preserve">The complete underlying dataset, without interpretation</w:t>
      </w:r>
    </w:p>
    <w:p>
      <w:pPr>
        <w:spacing w:after="200" w:line="270"/>
      </w:pPr>
      <w:r>
        <w:rPr>
          <w:rFonts w:ascii="Calibri" w:cs="Calibri" w:eastAsia="Calibri" w:hAnsi="Calibri"/>
          <w:color w:val="595959"/>
          <w:sz w:val="20"/>
          <w:szCs w:val="20"/>
        </w:rPr>
        <w:t xml:space="preserve">Prepared 1 August 2026</w:t>
      </w:r>
    </w:p>
    <w:p>
      <w:pPr>
        <w:pStyle w:val="Heading1"/>
        <w:pBdr>
          <w:bottom w:val="single" w:color="1F4E5F" w:sz="6" w:space="4"/>
        </w:pBdr>
        <w:spacing w:after="130" w:before="260"/>
      </w:pPr>
      <w:r>
        <w:rPr>
          <w:rFonts w:ascii="Calibri" w:cs="Calibri" w:eastAsia="Calibri" w:hAnsi="Calibri"/>
          <w:b/>
          <w:bCs/>
          <w:color w:val="1F4E5F"/>
          <w:sz w:val="25"/>
          <w:szCs w:val="25"/>
        </w:rPr>
        <w:t xml:space="preserve">What this document contains</w:t>
      </w:r>
    </w:p>
    <w:p>
      <w:pPr>
        <w:spacing w:after="140" w:line="270"/>
      </w:pPr>
      <w:r>
        <w:rPr>
          <w:rFonts w:ascii="Calibri" w:cs="Calibri" w:eastAsia="Calibri" w:hAnsi="Calibri"/>
          <w:sz w:val="21"/>
          <w:szCs w:val="21"/>
        </w:rPr>
        <w:t xml:space="preserve">This is the raw data behind every figure quoted in the other capstone documents, provided so conclusions can be checked or replaced with your own. Nothing here is interpreted, ranked or recommended.</w:t>
      </w:r>
    </w:p>
    <w:p>
      <w:pPr>
        <w:pStyle w:val="ListParagraph"/>
        <w:numPr>
          <w:ilvl w:val="0"/>
          <w:numId w:val="2"/>
        </w:numPr>
        <w:spacing w:after="70" w:line="270"/>
      </w:pPr>
      <w:r>
        <w:rPr>
          <w:rFonts w:ascii="Calibri" w:cs="Calibri" w:eastAsia="Calibri" w:hAnsi="Calibri"/>
          <w:b/>
          <w:bCs/>
          <w:sz w:val="21"/>
          <w:szCs w:val="21"/>
        </w:rPr>
        <w:t xml:space="preserve">Table 1 - Country performance series. </w:t>
      </w:r>
      <w:r>
        <w:rPr>
          <w:rFonts w:ascii="Calibri" w:cs="Calibri" w:eastAsia="Calibri" w:hAnsi="Calibri"/>
          <w:sz w:val="21"/>
          <w:szCs w:val="21"/>
        </w:rPr>
        <w:t xml:space="preserve">All 543 country-year records: recycling rate, recovery rate, vehicle count, tonnage, data-quality flags and anomaly type, for every reporting country from 2005 to 2023.</w:t>
      </w:r>
    </w:p>
    <w:p>
      <w:pPr>
        <w:pStyle w:val="ListParagraph"/>
        <w:numPr>
          <w:ilvl w:val="0"/>
          <w:numId w:val="2"/>
        </w:numPr>
        <w:spacing w:after="70" w:line="270"/>
      </w:pPr>
      <w:r>
        <w:rPr>
          <w:rFonts w:ascii="Calibri" w:cs="Calibri" w:eastAsia="Calibri" w:hAnsi="Calibri"/>
          <w:b/>
          <w:bCs/>
          <w:sz w:val="21"/>
          <w:szCs w:val="21"/>
        </w:rPr>
        <w:t xml:space="preserve">Table 2 - Belgium material flows. </w:t>
      </w:r>
      <w:r>
        <w:rPr>
          <w:rFonts w:ascii="Calibri" w:cs="Calibri" w:eastAsia="Calibri" w:hAnsi="Calibri"/>
          <w:sz w:val="21"/>
          <w:szCs w:val="21"/>
        </w:rPr>
        <w:t xml:space="preserve">All 677 records of material tonnages recovered from Belgian ELVs, 2015-2023, by material category and treatment operation.</w:t>
      </w:r>
    </w:p>
    <w:p>
      <w:pPr>
        <w:pStyle w:val="Heading1"/>
        <w:pBdr>
          <w:bottom w:val="single" w:color="1F4E5F" w:sz="6" w:space="4"/>
        </w:pBdr>
        <w:spacing w:after="130" w:before="260"/>
      </w:pPr>
      <w:r>
        <w:rPr>
          <w:rFonts w:ascii="Calibri" w:cs="Calibri" w:eastAsia="Calibri" w:hAnsi="Calibri"/>
          <w:b/>
          <w:bCs/>
          <w:color w:val="1F4E5F"/>
          <w:sz w:val="25"/>
          <w:szCs w:val="25"/>
        </w:rPr>
        <w:t xml:space="preserve">Where it comes from</w:t>
      </w:r>
    </w:p>
    <w:p>
      <w:pPr>
        <w:spacing w:after="100"/>
      </w:pPr>
      <w:r>
        <w:rPr>
          <w:rFonts w:ascii="Calibri" w:cs="Calibri" w:eastAsia="Calibri" w:hAnsi="Calibri"/>
          <w:sz w:val="21"/>
          <w:szCs w:val="21"/>
        </w:rPr>
        <w:t xml:space="preserve">Source: Eurostat dataflows ENV_WASELVT (ELV totals) and ENV_WASELV (detailed breakdown), release dated 28 April 2026, retrieved directly from the Eurostat SDMX API. Loaded into BigQuery by eu_elv/pipeline/fetch_bronze_api.py, typed and labelled in elv_silver, aggregated to one row per country-year in elv_gold.elv_country_year.</w:t>
      </w:r>
    </w:p>
    <w:p>
      <w:pPr>
        <w:spacing w:after="150" w:line="270"/>
      </w:pPr>
      <w:r>
        <w:rPr>
          <w:rFonts w:ascii="Calibri" w:cs="Calibri" w:eastAsia="Calibri" w:hAnsi="Calibri"/>
          <w:sz w:val="21"/>
          <w:szCs w:val="21"/>
        </w:rPr>
        <w:t xml:space="preserve">All values are as reported by each country to Eurostat. The automated pull was verified against a hand-checked extract with zero differences across 34,573 observations, and category labels come from Eurostat's own codelists.</w:t>
      </w:r>
    </w:p>
    <w:p>
      <w:pPr>
        <w:pStyle w:val="Heading1"/>
        <w:pBdr>
          <w:bottom w:val="single" w:color="1F4E5F" w:sz="6" w:space="4"/>
        </w:pBdr>
        <w:spacing w:after="130" w:before="260"/>
      </w:pPr>
      <w:r>
        <w:rPr>
          <w:rFonts w:ascii="Calibri" w:cs="Calibri" w:eastAsia="Calibri" w:hAnsi="Calibri"/>
          <w:b/>
          <w:bCs/>
          <w:color w:val="1F4E5F"/>
          <w:sz w:val="25"/>
          <w:szCs w:val="25"/>
        </w:rPr>
        <w:t xml:space="preserve">How to read the columns</w:t>
      </w:r>
    </w:p>
    <w:p>
      <w:pPr>
        <w:pStyle w:val="ListParagraph"/>
        <w:numPr>
          <w:ilvl w:val="0"/>
          <w:numId w:val="2"/>
        </w:numPr>
        <w:spacing w:after="70" w:line="270"/>
      </w:pPr>
      <w:r>
        <w:rPr>
          <w:rFonts w:ascii="Calibri" w:cs="Calibri" w:eastAsia="Calibri" w:hAnsi="Calibri"/>
          <w:b/>
          <w:bCs/>
          <w:sz w:val="21"/>
          <w:szCs w:val="21"/>
        </w:rPr>
        <w:t xml:space="preserve">Recycling rate </w:t>
      </w:r>
      <w:r>
        <w:rPr>
          <w:rFonts w:ascii="Calibri" w:cs="Calibri" w:eastAsia="Calibri" w:hAnsi="Calibri"/>
          <w:sz w:val="21"/>
          <w:szCs w:val="21"/>
        </w:rPr>
        <w:t xml:space="preserve">- reuse and recycling as a percent of ELV weight. EU target 85%.</w:t>
      </w:r>
    </w:p>
    <w:p>
      <w:pPr>
        <w:pStyle w:val="ListParagraph"/>
        <w:numPr>
          <w:ilvl w:val="0"/>
          <w:numId w:val="2"/>
        </w:numPr>
        <w:spacing w:after="70" w:line="270"/>
      </w:pPr>
      <w:r>
        <w:rPr>
          <w:rFonts w:ascii="Calibri" w:cs="Calibri" w:eastAsia="Calibri" w:hAnsi="Calibri"/>
          <w:b/>
          <w:bCs/>
          <w:sz w:val="21"/>
          <w:szCs w:val="21"/>
        </w:rPr>
        <w:t xml:space="preserve">Recovery rate </w:t>
      </w:r>
      <w:r>
        <w:rPr>
          <w:rFonts w:ascii="Calibri" w:cs="Calibri" w:eastAsia="Calibri" w:hAnsi="Calibri"/>
          <w:sz w:val="21"/>
          <w:szCs w:val="21"/>
        </w:rPr>
        <w:t xml:space="preserve">- reuse and recovery (includes energy recovery) as a percent of ELV weight. EU target 95%.</w:t>
      </w:r>
    </w:p>
    <w:p>
      <w:pPr>
        <w:pStyle w:val="ListParagraph"/>
        <w:numPr>
          <w:ilvl w:val="0"/>
          <w:numId w:val="2"/>
        </w:numPr>
        <w:spacing w:after="70" w:line="270"/>
      </w:pPr>
      <w:r>
        <w:rPr>
          <w:rFonts w:ascii="Calibri" w:cs="Calibri" w:eastAsia="Calibri" w:hAnsi="Calibri"/>
          <w:b/>
          <w:bCs/>
          <w:sz w:val="21"/>
          <w:szCs w:val="21"/>
        </w:rPr>
        <w:t xml:space="preserve">Vehicles / Tonnes </w:t>
      </w:r>
      <w:r>
        <w:rPr>
          <w:rFonts w:ascii="Calibri" w:cs="Calibri" w:eastAsia="Calibri" w:hAnsi="Calibri"/>
          <w:sz w:val="21"/>
          <w:szCs w:val="21"/>
        </w:rPr>
        <w:t xml:space="preserve">- ELVs generated in the year, by count and by weight.</w:t>
      </w:r>
    </w:p>
    <w:p>
      <w:pPr>
        <w:pStyle w:val="ListParagraph"/>
        <w:numPr>
          <w:ilvl w:val="0"/>
          <w:numId w:val="2"/>
        </w:numPr>
        <w:spacing w:after="70" w:line="270"/>
      </w:pPr>
      <w:r>
        <w:rPr>
          <w:rFonts w:ascii="Calibri" w:cs="Calibri" w:eastAsia="Calibri" w:hAnsi="Calibri"/>
          <w:b/>
          <w:bCs/>
          <w:sz w:val="21"/>
          <w:szCs w:val="21"/>
        </w:rPr>
        <w:t xml:space="preserve">Flags </w:t>
      </w:r>
      <w:r>
        <w:rPr>
          <w:rFonts w:ascii="Calibri" w:cs="Calibri" w:eastAsia="Calibri" w:hAnsi="Calibri"/>
          <w:sz w:val="21"/>
          <w:szCs w:val="21"/>
        </w:rPr>
        <w:t xml:space="preserve">- E estimated, I imputed, L low reliability. These are Eurostat's own quality markers and can appear together.</w:t>
      </w:r>
    </w:p>
    <w:p>
      <w:pPr>
        <w:pStyle w:val="ListParagraph"/>
        <w:numPr>
          <w:ilvl w:val="0"/>
          <w:numId w:val="2"/>
        </w:numPr>
        <w:spacing w:after="70" w:line="270"/>
      </w:pPr>
      <w:r>
        <w:rPr>
          <w:rFonts w:ascii="Calibri" w:cs="Calibri" w:eastAsia="Calibri" w:hAnsi="Calibri"/>
          <w:b/>
          <w:bCs/>
          <w:sz w:val="21"/>
          <w:szCs w:val="21"/>
        </w:rPr>
        <w:t xml:space="preserve">Anomaly </w:t>
      </w:r>
      <w:r>
        <w:rPr>
          <w:rFonts w:ascii="Calibri" w:cs="Calibri" w:eastAsia="Calibri" w:hAnsi="Calibri"/>
          <w:sz w:val="21"/>
          <w:szCs w:val="21"/>
        </w:rPr>
        <w:t xml:space="preserve">- doc means a documented cause exists; undx means the value is unusual (above 100% or a swing over 15 points) with no verified explanation. Blank means neither.</w:t>
      </w:r>
    </w:p>
    <w:p>
      <w:pPr>
        <w:pStyle w:val="ListParagraph"/>
        <w:numPr>
          <w:ilvl w:val="0"/>
          <w:numId w:val="2"/>
        </w:numPr>
        <w:spacing w:after="70" w:line="270"/>
      </w:pPr>
      <w:r>
        <w:rPr>
          <w:rFonts w:ascii="Calibri" w:cs="Calibri" w:eastAsia="Calibri" w:hAnsi="Calibri"/>
          <w:b/>
          <w:bCs/>
          <w:sz w:val="21"/>
          <w:szCs w:val="21"/>
        </w:rPr>
        <w:t xml:space="preserve">Blank rate cells </w:t>
      </w:r>
      <w:r>
        <w:rPr>
          <w:rFonts w:ascii="Calibri" w:cs="Calibri" w:eastAsia="Calibri" w:hAnsi="Calibri"/>
          <w:sz w:val="21"/>
          <w:szCs w:val="21"/>
        </w:rPr>
        <w:t xml:space="preserve">- no data reported. This is not the same as a zero or a failed target.</w:t>
      </w:r>
    </w:p>
    <w:p>
      <w:pPr>
        <w:spacing w:after="120" w:line="270"/>
      </w:pPr>
      <w:r>
        <w:rPr>
          <w:rFonts w:ascii="Calibri" w:cs="Calibri" w:eastAsia="Calibri" w:hAnsi="Calibri"/>
          <w:color w:val="595959"/>
          <w:sz w:val="20"/>
          <w:szCs w:val="20"/>
        </w:rPr>
        <w:t xml:space="preserve">EU27_2020 is Eurostat's own aggregate of the 27 member states, not a country. Iceland, Liechtenstein and Norway are EEA members bound by the ELV Directive, not EU members.</w:t>
      </w:r>
    </w:p>
    <w:p>
      <w:pPr>
        <w:sectPr>
          <w:pgSz w:w="12240" w:h="15840" w:orient="portrait"/>
          <w:pgMar w:top="1300" w:right="1300" w:bottom="1300" w:left="1300" w:header="708" w:footer="708" w:gutter="0"/>
          <w:pgNumType/>
          <w:docGrid w:linePitch="360"/>
        </w:sectPr>
      </w:pPr>
    </w:p>
    <w:p>
      <w:pPr>
        <w:spacing w:after="100"/>
      </w:pPr>
      <w:r>
        <w:rPr>
          <w:rFonts w:ascii="Calibri" w:cs="Calibri" w:eastAsia="Calibri" w:hAnsi="Calibri"/>
          <w:b/>
          <w:bCs/>
          <w:color w:val="1F4E5F"/>
          <w:sz w:val="25"/>
          <w:szCs w:val="25"/>
        </w:rPr>
        <w:t xml:space="preserve">Table 1 - Country performance, all reporting years</w:t>
      </w:r>
    </w:p>
    <w:p>
      <w:pPr>
        <w:spacing w:after="130" w:line="270"/>
      </w:pPr>
      <w:r>
        <w:rPr>
          <w:rFonts w:ascii="Calibri" w:cs="Calibri" w:eastAsia="Calibri" w:hAnsi="Calibri"/>
          <w:color w:val="595959"/>
          <w:sz w:val="18"/>
          <w:szCs w:val="18"/>
        </w:rPr>
        <w:t xml:space="preserve">543 records. Source: elv_gold.elv_country_year. Rates in percent; blank means not reported.</w:t>
      </w:r>
    </w:p>
    <w:tbl>
      <w:tblPr>
        <w:tblW w:type="dxa" w:w="12960"/>
        <w:tblBorders>
          <w:top w:val="single" w:color="BFBFBF" w:sz="4"/>
          <w:left w:val="none"/>
          <w:bottom w:val="single" w:color="BFBFBF" w:sz="4"/>
          <w:right w:val="none"/>
          <w:insideH w:val="single" w:color="E4E4E4" w:sz="1"/>
          <w:insideV w:val="none"/>
        </w:tblBorders>
      </w:tblPr>
      <w:tblGrid>
        <w:gridCol w:w="2500"/>
        <w:gridCol w:w="900"/>
        <w:gridCol w:w="1500"/>
        <w:gridCol w:w="1500"/>
        <w:gridCol w:w="1900"/>
        <w:gridCol w:w="1900"/>
        <w:gridCol w:w="1330"/>
        <w:gridCol w:w="1430"/>
      </w:tblGrid>
      <w:tr>
        <w:trPr>
          <w:tblHeader/>
        </w:trPr>
        <w:tc>
          <w:tcPr>
            <w:tcW w:type="dxa" w:w="2500"/>
            <w:shd w:fill="E8EEF1" w:color="auto" w:val="clear"/>
            <w:tcMar>
              <w:top w:type="dxa" w:w="20"/>
              <w:left w:type="dxa" w:w="60"/>
              <w:bottom w:type="dxa" w:w="20"/>
              <w:right w:type="dxa" w:w="60"/>
            </w:tcMar>
          </w:tcPr>
          <w:p>
            <w:pPr>
              <w:spacing w:after="0" w:line="200"/>
            </w:pPr>
            <w:r>
              <w:rPr>
                <w:rFonts w:ascii="Calibri" w:cs="Calibri" w:eastAsia="Calibri" w:hAnsi="Calibri"/>
                <w:b/>
                <w:bCs/>
                <w:sz w:val="14"/>
                <w:szCs w:val="14"/>
              </w:rPr>
              <w:t xml:space="preserve">Country</w:t>
            </w:r>
          </w:p>
        </w:tc>
        <w:tc>
          <w:tcPr>
            <w:tcW w:type="dxa" w:w="900"/>
            <w:shd w:fill="E8EEF1" w:color="auto" w:val="clear"/>
            <w:tcMar>
              <w:top w:type="dxa" w:w="20"/>
              <w:left w:type="dxa" w:w="60"/>
              <w:bottom w:type="dxa" w:w="20"/>
              <w:right w:type="dxa" w:w="60"/>
            </w:tcMar>
          </w:tcPr>
          <w:p>
            <w:pPr>
              <w:spacing w:after="0" w:line="200"/>
              <w:jc w:val="right"/>
            </w:pPr>
            <w:r>
              <w:rPr>
                <w:rFonts w:ascii="Calibri" w:cs="Calibri" w:eastAsia="Calibri" w:hAnsi="Calibri"/>
                <w:b/>
                <w:bCs/>
                <w:sz w:val="14"/>
                <w:szCs w:val="14"/>
              </w:rPr>
              <w:t xml:space="preserve">Year</w:t>
            </w:r>
          </w:p>
        </w:tc>
        <w:tc>
          <w:tcPr>
            <w:tcW w:type="dxa" w:w="1500"/>
            <w:shd w:fill="E8EEF1" w:color="auto" w:val="clear"/>
            <w:tcMar>
              <w:top w:type="dxa" w:w="20"/>
              <w:left w:type="dxa" w:w="60"/>
              <w:bottom w:type="dxa" w:w="20"/>
              <w:right w:type="dxa" w:w="60"/>
            </w:tcMar>
          </w:tcPr>
          <w:p>
            <w:pPr>
              <w:spacing w:after="0" w:line="200"/>
              <w:jc w:val="right"/>
            </w:pPr>
            <w:r>
              <w:rPr>
                <w:rFonts w:ascii="Calibri" w:cs="Calibri" w:eastAsia="Calibri" w:hAnsi="Calibri"/>
                <w:b/>
                <w:bCs/>
                <w:sz w:val="14"/>
                <w:szCs w:val="14"/>
              </w:rPr>
              <w:t xml:space="preserve">Recycling %</w:t>
            </w:r>
          </w:p>
        </w:tc>
        <w:tc>
          <w:tcPr>
            <w:tcW w:type="dxa" w:w="1500"/>
            <w:shd w:fill="E8EEF1" w:color="auto" w:val="clear"/>
            <w:tcMar>
              <w:top w:type="dxa" w:w="20"/>
              <w:left w:type="dxa" w:w="60"/>
              <w:bottom w:type="dxa" w:w="20"/>
              <w:right w:type="dxa" w:w="60"/>
            </w:tcMar>
          </w:tcPr>
          <w:p>
            <w:pPr>
              <w:spacing w:after="0" w:line="200"/>
              <w:jc w:val="right"/>
            </w:pPr>
            <w:r>
              <w:rPr>
                <w:rFonts w:ascii="Calibri" w:cs="Calibri" w:eastAsia="Calibri" w:hAnsi="Calibri"/>
                <w:b/>
                <w:bCs/>
                <w:sz w:val="14"/>
                <w:szCs w:val="14"/>
              </w:rPr>
              <w:t xml:space="preserve">Recovery %</w:t>
            </w:r>
          </w:p>
        </w:tc>
        <w:tc>
          <w:tcPr>
            <w:tcW w:type="dxa" w:w="1900"/>
            <w:shd w:fill="E8EEF1" w:color="auto" w:val="clear"/>
            <w:tcMar>
              <w:top w:type="dxa" w:w="20"/>
              <w:left w:type="dxa" w:w="60"/>
              <w:bottom w:type="dxa" w:w="20"/>
              <w:right w:type="dxa" w:w="60"/>
            </w:tcMar>
          </w:tcPr>
          <w:p>
            <w:pPr>
              <w:spacing w:after="0" w:line="200"/>
              <w:jc w:val="right"/>
            </w:pPr>
            <w:r>
              <w:rPr>
                <w:rFonts w:ascii="Calibri" w:cs="Calibri" w:eastAsia="Calibri" w:hAnsi="Calibri"/>
                <w:b/>
                <w:bCs/>
                <w:sz w:val="14"/>
                <w:szCs w:val="14"/>
              </w:rPr>
              <w:t xml:space="preserve">Vehicles</w:t>
            </w:r>
          </w:p>
        </w:tc>
        <w:tc>
          <w:tcPr>
            <w:tcW w:type="dxa" w:w="1900"/>
            <w:shd w:fill="E8EEF1" w:color="auto" w:val="clear"/>
            <w:tcMar>
              <w:top w:type="dxa" w:w="20"/>
              <w:left w:type="dxa" w:w="60"/>
              <w:bottom w:type="dxa" w:w="20"/>
              <w:right w:type="dxa" w:w="60"/>
            </w:tcMar>
          </w:tcPr>
          <w:p>
            <w:pPr>
              <w:spacing w:after="0" w:line="200"/>
              <w:jc w:val="right"/>
            </w:pPr>
            <w:r>
              <w:rPr>
                <w:rFonts w:ascii="Calibri" w:cs="Calibri" w:eastAsia="Calibri" w:hAnsi="Calibri"/>
                <w:b/>
                <w:bCs/>
                <w:sz w:val="14"/>
                <w:szCs w:val="14"/>
              </w:rPr>
              <w:t xml:space="preserve">Tonnes</w:t>
            </w:r>
          </w:p>
        </w:tc>
        <w:tc>
          <w:tcPr>
            <w:tcW w:type="dxa" w:w="1330"/>
            <w:shd w:fill="E8EEF1" w:color="auto" w:val="clear"/>
            <w:tcMar>
              <w:top w:type="dxa" w:w="20"/>
              <w:left w:type="dxa" w:w="60"/>
              <w:bottom w:type="dxa" w:w="20"/>
              <w:right w:type="dxa" w:w="60"/>
            </w:tcMar>
          </w:tcPr>
          <w:p>
            <w:pPr>
              <w:spacing w:after="0" w:line="200"/>
              <w:jc w:val="right"/>
            </w:pPr>
            <w:r>
              <w:rPr>
                <w:rFonts w:ascii="Calibri" w:cs="Calibri" w:eastAsia="Calibri" w:hAnsi="Calibri"/>
                <w:b/>
                <w:bCs/>
                <w:sz w:val="14"/>
                <w:szCs w:val="14"/>
              </w:rPr>
              <w:t xml:space="preserve">Flags</w:t>
            </w:r>
          </w:p>
        </w:tc>
        <w:tc>
          <w:tcPr>
            <w:tcW w:type="dxa" w:w="1430"/>
            <w:shd w:fill="E8EEF1" w:color="auto" w:val="clear"/>
            <w:tcMar>
              <w:top w:type="dxa" w:w="20"/>
              <w:left w:type="dxa" w:w="60"/>
              <w:bottom w:type="dxa" w:w="20"/>
              <w:right w:type="dxa" w:w="60"/>
            </w:tcMar>
          </w:tcPr>
          <w:p>
            <w:pPr>
              <w:spacing w:after="0" w:line="200"/>
              <w:jc w:val="right"/>
            </w:pPr>
            <w:r>
              <w:rPr>
                <w:rFonts w:ascii="Calibri" w:cs="Calibri" w:eastAsia="Calibri" w:hAnsi="Calibri"/>
                <w:b/>
                <w:bCs/>
                <w:sz w:val="14"/>
                <w:szCs w:val="14"/>
              </w:rPr>
              <w:t xml:space="preserve">Anomaly</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Austria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87,277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69,329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Austria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62,042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50,805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Austria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63,975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52,202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Austria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87,364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74,211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Austria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82,144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67,997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Austria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80,004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67,384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Austria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64,809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56,180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Austria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73,993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65,475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Austria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59,904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53,310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Austria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47,926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43,934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Austria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48,077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45,338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Austria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58,462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57,065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Austria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60,272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61,149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Austria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54,424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53,576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Austria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50,944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50,940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Austria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57,722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59,293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Austria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38,275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39,623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Austria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27,949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28,703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Belgium</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131,043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131,030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Belgium</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127,949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128,615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Belgium</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141,521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144,121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Belgium</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140,993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144,726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Belgium</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170,562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176,446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Belgium</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165,016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171,747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Belgium</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160,615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171,466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Belgium</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134,506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145,652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Belgium</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126,835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138,703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Belgium</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107,425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119,054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Belgium</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106,458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119,188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Belgium</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120,896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148,459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Belgium</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142,852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177,439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Belgium</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134,629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168,810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Belgium</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110,161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138,468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Belgium</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103,659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129,979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Belgium</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81,350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102,334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Belgium</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63,592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80,190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Bulgaria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45,127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45,127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Bulgaria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23,433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23,433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Bulgaria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38,600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38,600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Bulgaria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55,330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63,027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Bulgaria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69,287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74,422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Bulgaria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62,937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65,428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Bulgaria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57,532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59,191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Bulgaria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61,673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62,723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Bulgaria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80,862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82,258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Bulgaria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85,946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88,066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Bulgaria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92,706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92,111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Bulgaria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102,442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104,457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Bulgaria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99,835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103,032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Bulgaria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85,670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88,372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Bulgaria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68,635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73,521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Bulgaria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87,362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90,127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Bulgaria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95,084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102,324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Bulgaria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105,268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106,718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Croatia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35,213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33,221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Croatia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100.0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32,135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29,017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E</w:t>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Croatia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19,388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22,584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Croatia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16,900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19,617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Croatia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20,386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18,912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Croatia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21,074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24,662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Croatia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27,404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30,616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Croatia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40,892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45,677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Croatia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46,919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53,033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Croatia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32,929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37,807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Croatia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33,048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39,838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Croatia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24,940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25,953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Cyprus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1,032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Cyprus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2,136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1,901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Cyprus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78.3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79.8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14,273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12,703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Cyprus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17,303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15,400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Cyprus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13,219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11,764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Cyprus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17,145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15,259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Cyprus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17,547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15,617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Cyprus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13,212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11,759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Cyprus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11,160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10,468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Cyprus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8,293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8,152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Cyprus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5,151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5,094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Cyprus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5,453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5,159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Cyprus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7,523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7,267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Cyprus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10,170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9,926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Cyprus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9,367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9,030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Cyprus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9,851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9,595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Cyprus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7,830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7,720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Cyprus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7,820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7,914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Czechia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79.0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56,582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48,094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Czechia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79.0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72,941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62,000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Czechia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147,259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132,533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Czechia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155,425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147,217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Czechia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145,447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135,479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Czechia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132,452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118,147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Czechia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125,587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114,800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Czechia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121,838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114,833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Czechia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131,987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122,450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Czechia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139,440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131,392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Czechia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145,928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139,881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Czechia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154,306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160,587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Czechia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169,715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171,412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Czechia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178,683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185,830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Czechia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101.9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167,814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177,885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Czechia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106.1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174,638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188,609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Czechia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117.2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121.8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160,427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176,470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Czechia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156,593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175,384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Denmark</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102,202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99,354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Denmark</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99,391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98,249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Denmark</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101,042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101,173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Denmark</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96,830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99,515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Denmark</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100,480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104,866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Denmark</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93,487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100,816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Denmark</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106,504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114,392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Denmark</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125,650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128,869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E</w:t>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Denmark</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104,413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118,597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Denmark</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98,929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109,762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Denmark</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89,039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100,957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Denmark</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117,124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134,331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Denmark</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117,519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136,717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Denmark</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102.6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119,551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143,357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doc</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Denmark</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102.3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95,084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113,150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doc</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Denmark</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104,515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129,055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Denmark</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83,305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101,839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Denmark</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74,369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92,248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Estonia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11,035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10,637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Estonia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12,664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12,334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Estonia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13,843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13,716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I</w:t>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Estonia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7,528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7,712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Estonia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77.3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78.4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7,268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7,679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Estonia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76.1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79.0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11,413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12,123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Estonia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12,835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14,056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Estonia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77.7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14,712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16,391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Estonia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14,720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16,617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Estonia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12,884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14,857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Estonia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11,184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14,113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Estonia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16,236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19,539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Estonia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18,147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22,015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Estonia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15,293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18,876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Estonia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15,501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19,427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Estonia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20,403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25,865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Estonia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14,481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18,828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Estonia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16,499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21,594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European Union - 27 countries (from 2020)</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78.0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5,150,000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4,836,000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I</w:t>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European Union - 27 countries (from 2020)</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5,382,000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4,951,000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I</w:t>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European Union - 27 countries (from 2020)</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5,079,000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4,789,000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I</w:t>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European Union - 27 countries (from 2020)</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7,700,000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7,108,000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I</w:t>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European Union - 27 countries (from 2020)</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6,213,000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6,096,000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I</w:t>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European Union - 27 countries (from 2020)</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5,555,000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5,540,000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I</w:t>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European Union - 27 countries (from 2020)</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5,123,000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5,109,000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European Union - 27 countries (from 2020)</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5,085,000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5,332,000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I</w:t>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European Union - 27 countries (from 2020)</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5,043,000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5,279,000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European Union - 27 countries (from 2020)</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4,968,000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5,217,000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European Union - 27 countries (from 2020)</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4,823,000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5,130,000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European Union - 27 countries (from 2020)</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5,300,000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5,708,000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European Union - 27 countries (from 2020)</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6,105,000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6,758,000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European Union - 27 countries (from 2020)</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6,074,000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6,909,000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European Union - 27 countries (from 2020)</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5,370,000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6,156,000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European Union - 27 countries (from 2020)</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5,683,000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6,535,000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I</w:t>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European Union - 27 countries (from 2020)</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4,667,000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5,463,000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I</w:t>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European Union - 27 countries (from 2020)</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4,264,000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5,044,000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I</w:t>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Finland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11,278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10,817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Finland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14,945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14,183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Finland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15,792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14,734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Finland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103,000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96,130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Finland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96,270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89,849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Finland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119,000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118,976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Finland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136,000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135,973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Finland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119,000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118,976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Finland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99,300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99,280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Finland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94,540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101,822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Finland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99,630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107,302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Finland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114,460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123,273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Finland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128,280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138,158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Finland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120,040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129,283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Finland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100,922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113,134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Finland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109,099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122,300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Finland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114,404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128,247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Finland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105,875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118,686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Finland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91,044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102,060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France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79.6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930,000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837,000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France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79.8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946,497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875,144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France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79.9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1,109,876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1,046,624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France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78.6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1,570,593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1,464,843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France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79.0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1,583,283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1,548,451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France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1,515,432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1,501,850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France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1,209,477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1,229,096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France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1,115,280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1,210,605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France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1,084,766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1,115,190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France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1,016,326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1,057,580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France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1,046,083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1,103,927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France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1,138,742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1,221,498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France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1,571,776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1,718,098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France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1,623,522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1,802,746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France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1,331,185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1,488,557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France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1,345,831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1,517,628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France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1,168,225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1,336,455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France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1,029,932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1,189,994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Germany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499,756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449,280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Germany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456,436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420,424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Germany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417,534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387,693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Germany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1,778,593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1,596,831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Germany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106.2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500,193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516,128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Germany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108.2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466,160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468,459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Germany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106.3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476,601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475,719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Germany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103.8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500,322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490,771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Germany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101.4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512,163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502,656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Germany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473,386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474,379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Germany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412,801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420,113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Germany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506,531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530,311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Germany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560,455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595,761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Germany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461,266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501,658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Germany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406,044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456,586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Germany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396,773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444,950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Germany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292,877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327,682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Germany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250,749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283,549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Greece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29,689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23,952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Greece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47,414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41,733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Greece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55,201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51,828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Greece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115,670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115,849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Greece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95,162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92,158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Greece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112,454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104,590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Greece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84,456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78,433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Greece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86,205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81,619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Greece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82,863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79,668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E</w:t>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Greece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64.5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68.9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87,050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84,046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doc</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Greece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100.0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108.0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46,573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45,570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E</w:t>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Greece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39,761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38,654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Greece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108.3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47,141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45,971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Greece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69.7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77.2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49,533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48,650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doc</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Greece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44,759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43,658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Greece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53,516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52,169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Greece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53,740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53,513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Greece</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55,097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54,433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Hungary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20,976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16,380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Hungary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43,433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30,207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Hungary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37,196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28,287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Hungary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26,020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27,419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Hungary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15,907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15,589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Hungary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13,043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14,959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Hungary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15,357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14,388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Hungary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14,897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14,865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Hungary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15,283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13,887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E</w:t>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Hungary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16,788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13,380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Hungary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15,141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12,527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Hungary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15,573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14,249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Hungary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19,280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15,925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Hungary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20,743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21,858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Hungary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19,526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20,613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Hungary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17,614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18,490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Hungary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16,934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18,164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Hungary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15,156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17,068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Iceland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9,386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9,177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Iceland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5,109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4,560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Iceland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4,195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4,380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Iceland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4,075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4,207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Iceland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100.0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5,824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5,786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L</w:t>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Iceland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4,463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5,779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Iceland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5,245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6,834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Iceland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6,063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7,721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Iceland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6,527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8,536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Iceland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9,483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12,656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Iceland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11,392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15,692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Iceland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11,635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16,175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Iceland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10,927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15,882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Iceland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9,624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13,669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Iceland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8,155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11,768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Iceland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8,163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12,273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Ireland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78.1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78.1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146,613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Ireland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112,243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109,032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Ireland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75.9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127,612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136,624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Ireland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78.9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152,455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163,070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Ireland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77.0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77.4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158,237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169,155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Ireland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134,960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139,279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Ireland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102,073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105,339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Ireland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92,467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98,015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Ireland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86,950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92,208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Ireland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74,910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79,405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Ireland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98,213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104,105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Ireland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140,788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149,235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Ireland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162,521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172,273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Ireland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149,445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158,412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Ireland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118,867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126,000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Ireland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145,628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154,365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Ireland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105,494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111,824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Ireland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90,413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95,880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Italy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69.9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70.8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1,295,195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1,230,435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Italy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70.3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72.7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1,379,000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1,310,050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Italy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1,692,136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1,472,446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Italy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1,203,184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1,106,929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Italy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1,610,137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1,379,027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Italy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1,246,546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1,240,204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Italy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952,461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986,391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Italy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902,611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874,887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Italy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876,052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959,542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Italy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853,584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953,690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Italy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958,245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1,036,562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Italy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978,960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1,086,425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Italy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990,876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1,096,145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Italy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1,030,318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1,201,500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Italy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1,094,731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1,292,768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Italy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1,002,401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1,223,053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Italy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1,172,305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1,404,154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Italy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797,046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1,013,939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Italy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737,852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971,292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Latvia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6,288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5,659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Latvia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11,882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10,979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Latvia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10,968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10,578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Latvia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10,590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8,946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Latvia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10,640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9,650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Latvia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9,387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10,115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Latvia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10,228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10,435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Latvia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9,003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9,037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Latvia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9,268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8,983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Latvia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8,924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8,989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Latvia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8,049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8,253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Latvia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11,439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11,681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Latvia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11,435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11,061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Latvia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11,592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10,999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Latvia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11,885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12,694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Latvia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10,247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11,206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Latvia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11,628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13,123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Latvia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14,309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13,202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Liechtenstein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Liechtenstein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I</w:t>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Liechtenstein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76.0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Liechtenstein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76.0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Liechtenstein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Liechtenstein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77.2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Liechtenstein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78.2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326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354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Liechtenstein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78.7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Liechtenstein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261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Liechtenstein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75.6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291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Liechtenstein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75.1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326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373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Liechtenstein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74.5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Liechtenstein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75.7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Liechtenstein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69.7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Liechtenstein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74.3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Liechtenstein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Liechtenstein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Lithuania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13,877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14,057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Lithuania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15,906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17,207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Lithuania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19,534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19,426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Lithuania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19,656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19,014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Lithuania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23,351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22,885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Lithuania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26,619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27,823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Lithuania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22,885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26,187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Lithuania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26,482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31,037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Lithuania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29,982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33,265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Lithuania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26,546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31,037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Lithuania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21,306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27,752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Lithuania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21,066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27,140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Lithuania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20,629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27,579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Lithuania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22,001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30,084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Lithuania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31,147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40,925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Lithuania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32,778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43,382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Lithuania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31,477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41,602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Lithuania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29,992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38,782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Luxembourg</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4,864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4,557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Luxembourg</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3,536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3,025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Luxembourg</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2,865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2,537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Luxembourg</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6,908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6,517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Luxembourg</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6,303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6,115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Luxembourg</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2,341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2,154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Luxembourg</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2,834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2,750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Luxembourg</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2,290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2,501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Luxembourg</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2,225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2,258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Luxembourg</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1,617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1,746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Luxembourg</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1,854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2,063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Luxembourg</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1,972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2,048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Luxembourg</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3,103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3,413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Luxembourg</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2,827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3,471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Luxembourg</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2,416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2,999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Luxembourg</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2,497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3,137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Luxembourg</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1,533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1,925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Luxembourg</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1,209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1,657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Malta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64.2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64.2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330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288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Malta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2,526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2,225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Malta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2,530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2,177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L</w:t>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Malta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1,198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1,050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Malta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45.0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2,646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2,835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Malta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77.7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77.7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4,509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4,803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Malta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54.4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54.4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5,632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6,322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Malta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56.1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56.1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7,570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8,182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Malta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7,599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7,425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Malta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79.2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79.2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6,616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7,096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Malta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8,108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8,350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Malta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9,131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11,324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Malta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6,330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8,332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Malta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62.8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62.8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5,350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10,238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doc</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Netherlands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192,224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179,883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Netherlands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166,004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156,758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Netherlands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152,175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146,316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Netherlands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191,980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187,296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Netherlands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232,448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232,239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Netherlands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195,052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198,173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Netherlands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187,143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191,260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Netherlands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183,451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189,138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Netherlands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188,487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196,215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Netherlands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167,777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174,152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Netherlands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197,488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204,400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Netherlands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199,506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206,489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Netherlands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214,013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223,216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Netherlands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177,404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186,629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Netherlands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194,982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208,631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Netherlands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197,046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210,248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Netherlands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141,201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151,367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Netherlands</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131,896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142,843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Norway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105,324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105,805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Norway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95,128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95,563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Norway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130,018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134,179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Norway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95,000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98,040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Norway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112,537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116,138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Norway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73.6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124,563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130,066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Norway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75.5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119,905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141,115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Norway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75.4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141,452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163,518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Norway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139,920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158,389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Norway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145,098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177,542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Norway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142,280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176,216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Norway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143,664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180,884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Norway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143,767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188,109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Norway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144,933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190,774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Norway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138,203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184,583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Norway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129,222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174,275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Norway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117,067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163,816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Norway</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105,444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148,761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150,987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124,173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72.8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77.0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171,258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150,063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79.5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189,871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170,100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210,218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192,281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259,576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217,636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295,152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284,307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344,809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340,212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402,416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401,639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454,737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462,202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478,202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493,468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380,529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395,216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495,805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522,299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514,210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551,221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118.8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122.2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450,066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555,826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doc</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106.8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109.0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386,826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440,183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doc</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445,671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517,179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394,193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463,347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Poland</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375,569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444,753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Portugal</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25,641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21,692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Portugal</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90,509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78,860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Portugal</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107,746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95,691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Portugal</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107,946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95,703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Portugal</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107,419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96,242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Portugal</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77,929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71,664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Portugal</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92,008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87,020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Portugal</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92,112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85,960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Portugal</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86,713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81,193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Portugal</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84,158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80,494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Portugal</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88,559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84,473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Portugal</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99,910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96,794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Portugal</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107,140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104,274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Portugal</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111,112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112,347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Portugal</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101,378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98,945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Portugal</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117,997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116,227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Portugal</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109,538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108,662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Portugal</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101,315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101,011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Romania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77.1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21,234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17,624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Romania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36,363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32,007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Romania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51,577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44,031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Romania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55,875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48,424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Romania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190,790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162,276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Romania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128,839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110,035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Romania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57,950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50,732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Romania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37,989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34,566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Romania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42,138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38,137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Romania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41,886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38,851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Romania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46,572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44,637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Romania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49,830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48,428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Romania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67,344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66,319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Romania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84,621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86,126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Romania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79,360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83,782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Slovakia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15,069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11,907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Slovakia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28,487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23,414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Slovakia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39,769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29,885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Slovakia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67,795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54,051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Slovakia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35,174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27,396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Slovakia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39,171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30,341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Slovakia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33,469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26,373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Slovakia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36,858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29,678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Slovakia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29,175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24,710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Slovakia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26,176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23,199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Slovakia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36,931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34,822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Slovakia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35,328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33,183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Slovakia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39,343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38,036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Slovakia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52,722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52,542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Slovakia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53,355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54,853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Slovakia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40,762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42,837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Slovakia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34,472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36,837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Slovakia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33,597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35,636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Slovenia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76.8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79.6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9,418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7,810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Slovenia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8,409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6,041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Slovenia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6,780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4,790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Slovenia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7,043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5,428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Slovenia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6,807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5,305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Slovenia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6,598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5,703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Slovenia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100.0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103.0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5,447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4,528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Slovenia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6,260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5,960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Slovenia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5,980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5,679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Slovenia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7,093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7,276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Slovenia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102.9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109.9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8,590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8,414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Slovenia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103.7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12,141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11,937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Slovenia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15,182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14,657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Slovenia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110.1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117.2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15,493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15,349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Slovenia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11,574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13,196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undx</w:t>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Slovenia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8,225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8,739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Slovenia</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7,960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8,658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Spain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76.0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954,715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885,689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Spain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881,164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839,194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Spain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748,071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712,440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Spain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952,367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913,787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Spain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839,637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805,623</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Spain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671,927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644,707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Spain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687,824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659,960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Spain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734,776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772,110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Spain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724,820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761,648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Spain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689,760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724,807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Spain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611,446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642,514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Spain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620,055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651,560</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Spain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748,306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858,686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Spain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813,768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949,916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Spain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713,404</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840,466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Spain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727,270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864,831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Spain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637,210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765,981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Spain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601,607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729,521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Sweden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283,450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335,605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Sweden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228,646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266,144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Sweden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150,197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178,524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Sweden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133,589</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162,391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Sweden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170,658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207,554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Sweden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184,105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226,504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Sweden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185,616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231,218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Sweden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189,748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240,626</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Sweden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186,967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237,605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Sweden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2015</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84.6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188,810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242,411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Sweden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2016</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186,875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240,697</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Sweden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97.2</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192,395</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249,361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Sweden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86.8</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95.3</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204,458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266,668</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Sweden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2019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87.4</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186,370</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245,441</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Sweden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87.7</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175,748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232,545</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Sweden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87.9</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96.8</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171,576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227,439</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Sweden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2022</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87.0</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157,981</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210,314</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r>
        <w:tc>
          <w:tcPr>
            <w:tcW w:type="dxa" w:w="2500"/>
            <w:tcMar>
              <w:top w:type="dxa" w:w="20"/>
              <w:left w:type="dxa" w:w="60"/>
              <w:bottom w:type="dxa" w:w="20"/>
              <w:right w:type="dxa" w:w="60"/>
            </w:tcMar>
          </w:tcPr>
          <w:p>
            <w:pPr>
              <w:spacing w:after="0" w:line="200"/>
            </w:pPr>
            <w:r>
              <w:rPr>
                <w:rFonts w:ascii="Calibri" w:cs="Calibri" w:eastAsia="Calibri" w:hAnsi="Calibri"/>
                <w:sz w:val="14"/>
                <w:szCs w:val="14"/>
              </w:rPr>
              <w:t xml:space="preserve">Sweden</w:t>
            </w:r>
          </w:p>
        </w:tc>
        <w:tc>
          <w:tcPr>
            <w:tcW w:type="dxa" w:w="9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87.1</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97.6</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134,177</w:t>
            </w:r>
          </w:p>
        </w:tc>
        <w:tc>
          <w:tcPr>
            <w:tcW w:type="dxa" w:w="19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181,092</w:t>
            </w:r>
          </w:p>
        </w:tc>
        <w:tc>
          <w:tcPr>
            <w:tcW w:type="dxa" w:w="13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c>
          <w:tcPr>
            <w:tcW w:type="dxa" w:w="1430"/>
            <w:tcMar>
              <w:top w:type="dxa" w:w="20"/>
              <w:left w:type="dxa" w:w="60"/>
              <w:bottom w:type="dxa" w:w="20"/>
              <w:right w:type="dxa" w:w="60"/>
            </w:tcMar>
          </w:tcPr>
          <w:p>
            <w:pPr>
              <w:spacing w:after="0" w:line="200"/>
              <w:jc w:val="right"/>
            </w:pPr>
            <w:r>
              <w:rPr>
                <w:rFonts w:ascii="Calibri" w:cs="Calibri" w:eastAsia="Calibri" w:hAnsi="Calibri"/>
                <w:sz w:val="14"/>
                <w:szCs w:val="14"/>
              </w:rPr>
              <w:t xml:space="preserve"/>
            </w:r>
          </w:p>
        </w:tc>
      </w:tr>
    </w:tbl>
    <w:p>
      <w:pPr>
        <w:sectPr>
          <w:pgSz w:w="15840" w:h="12240" w:orient="landscape"/>
          <w:pgMar w:top="1080" w:right="1080" w:bottom="1080" w:left="1080" w:header="708" w:footer="708" w:gutter="0"/>
          <w:pgNumType/>
          <w:docGrid w:linePitch="360"/>
        </w:sectPr>
      </w:pPr>
    </w:p>
    <w:p>
      <w:pPr>
        <w:spacing w:after="100"/>
      </w:pPr>
      <w:r>
        <w:rPr>
          <w:rFonts w:ascii="Calibri" w:cs="Calibri" w:eastAsia="Calibri" w:hAnsi="Calibri"/>
          <w:b/>
          <w:bCs/>
          <w:color w:val="1F4E5F"/>
          <w:sz w:val="25"/>
          <w:szCs w:val="25"/>
        </w:rPr>
        <w:t xml:space="preserve">Table 2 - Belgium material flows, 2015-2023</w:t>
      </w:r>
    </w:p>
    <w:p>
      <w:pPr>
        <w:spacing w:after="90" w:line="270"/>
      </w:pPr>
      <w:r>
        <w:rPr>
          <w:rFonts w:ascii="Calibri" w:cs="Calibri" w:eastAsia="Calibri" w:hAnsi="Calibri"/>
          <w:color w:val="595959"/>
          <w:sz w:val="18"/>
          <w:szCs w:val="18"/>
        </w:rPr>
        <w:t xml:space="preserve">677 records, all in tonnes. Source: elv_silver.elv_detail (Eurostat ENV_WASELV).</w:t>
      </w:r>
    </w:p>
    <w:p>
      <w:pPr>
        <w:spacing w:after="130" w:line="270"/>
      </w:pPr>
      <w:r>
        <w:rPr>
          <w:rFonts w:ascii="Calibri" w:cs="Calibri" w:eastAsia="Calibri" w:hAnsi="Calibri"/>
          <w:color w:val="595959"/>
          <w:sz w:val="18"/>
          <w:szCs w:val="18"/>
        </w:rPr>
        <w:t xml:space="preserve">Operation codes: GEN generated, RCY recycled, RCV recovered, RCV_E energy recovery, REU reused, DSP disposed. Note that RCV includes RCY, so these columns must not be added together.</w:t>
      </w:r>
    </w:p>
    <w:tbl>
      <w:tblPr>
        <w:tblW w:type="dxa" w:w="12960"/>
        <w:tblBorders>
          <w:top w:val="single" w:color="BFBFBF" w:sz="4"/>
          <w:left w:val="none"/>
          <w:bottom w:val="single" w:color="BFBFBF" w:sz="4"/>
          <w:right w:val="none"/>
          <w:insideH w:val="single" w:color="E4E4E4" w:sz="1"/>
          <w:insideV w:val="none"/>
        </w:tblBorders>
      </w:tblPr>
      <w:tblGrid>
        <w:gridCol w:w="900"/>
        <w:gridCol w:w="1300"/>
        <w:gridCol w:w="1300"/>
        <w:gridCol w:w="1500"/>
        <w:gridCol w:w="7960"/>
      </w:tblGrid>
      <w:tr>
        <w:trPr>
          <w:tblHeader/>
        </w:trPr>
        <w:tc>
          <w:tcPr>
            <w:tcW w:type="dxa" w:w="900"/>
            <w:shd w:fill="E8EEF1" w:color="auto" w:val="clear"/>
            <w:tcMar>
              <w:top w:type="dxa" w:w="20"/>
              <w:left w:type="dxa" w:w="60"/>
              <w:bottom w:type="dxa" w:w="20"/>
              <w:right w:type="dxa" w:w="60"/>
            </w:tcMar>
          </w:tcPr>
          <w:p>
            <w:pPr>
              <w:spacing w:after="0" w:line="200"/>
            </w:pPr>
            <w:r>
              <w:rPr>
                <w:rFonts w:ascii="Calibri" w:cs="Calibri" w:eastAsia="Calibri" w:hAnsi="Calibri"/>
                <w:b/>
                <w:bCs/>
                <w:sz w:val="14"/>
                <w:szCs w:val="14"/>
              </w:rPr>
              <w:t xml:space="preserve">Year</w:t>
            </w:r>
          </w:p>
        </w:tc>
        <w:tc>
          <w:tcPr>
            <w:tcW w:type="dxa" w:w="1300"/>
            <w:shd w:fill="E8EEF1" w:color="auto" w:val="clear"/>
            <w:tcMar>
              <w:top w:type="dxa" w:w="20"/>
              <w:left w:type="dxa" w:w="60"/>
              <w:bottom w:type="dxa" w:w="20"/>
              <w:right w:type="dxa" w:w="60"/>
            </w:tcMar>
          </w:tcPr>
          <w:p>
            <w:pPr>
              <w:spacing w:after="0" w:line="200"/>
            </w:pPr>
            <w:r>
              <w:rPr>
                <w:rFonts w:ascii="Calibri" w:cs="Calibri" w:eastAsia="Calibri" w:hAnsi="Calibri"/>
                <w:b/>
                <w:bCs/>
                <w:sz w:val="14"/>
                <w:szCs w:val="14"/>
              </w:rPr>
              <w:t xml:space="preserve">Code</w:t>
            </w:r>
          </w:p>
        </w:tc>
        <w:tc>
          <w:tcPr>
            <w:tcW w:type="dxa" w:w="1300"/>
            <w:shd w:fill="E8EEF1" w:color="auto" w:val="clear"/>
            <w:tcMar>
              <w:top w:type="dxa" w:w="20"/>
              <w:left w:type="dxa" w:w="60"/>
              <w:bottom w:type="dxa" w:w="20"/>
              <w:right w:type="dxa" w:w="60"/>
            </w:tcMar>
          </w:tcPr>
          <w:p>
            <w:pPr>
              <w:spacing w:after="0" w:line="200"/>
            </w:pPr>
            <w:r>
              <w:rPr>
                <w:rFonts w:ascii="Calibri" w:cs="Calibri" w:eastAsia="Calibri" w:hAnsi="Calibri"/>
                <w:b/>
                <w:bCs/>
                <w:sz w:val="14"/>
                <w:szCs w:val="14"/>
              </w:rPr>
              <w:t xml:space="preserve">Operation</w:t>
            </w:r>
          </w:p>
        </w:tc>
        <w:tc>
          <w:tcPr>
            <w:tcW w:type="dxa" w:w="1500"/>
            <w:shd w:fill="E8EEF1" w:color="auto" w:val="clear"/>
            <w:tcMar>
              <w:top w:type="dxa" w:w="20"/>
              <w:left w:type="dxa" w:w="60"/>
              <w:bottom w:type="dxa" w:w="20"/>
              <w:right w:type="dxa" w:w="60"/>
            </w:tcMar>
          </w:tcPr>
          <w:p>
            <w:pPr>
              <w:spacing w:after="0" w:line="200"/>
              <w:jc w:val="right"/>
            </w:pPr>
            <w:r>
              <w:rPr>
                <w:rFonts w:ascii="Calibri" w:cs="Calibri" w:eastAsia="Calibri" w:hAnsi="Calibri"/>
                <w:b/>
                <w:bCs/>
                <w:sz w:val="14"/>
                <w:szCs w:val="14"/>
              </w:rPr>
              <w:t xml:space="preserve">Tonnes</w:t>
            </w:r>
          </w:p>
        </w:tc>
        <w:tc>
          <w:tcPr>
            <w:tcW w:type="dxa" w:w="7960"/>
            <w:shd w:fill="E8EEF1" w:color="auto" w:val="clear"/>
            <w:tcMar>
              <w:top w:type="dxa" w:w="20"/>
              <w:left w:type="dxa" w:w="60"/>
              <w:bottom w:type="dxa" w:w="20"/>
              <w:right w:type="dxa" w:w="60"/>
            </w:tcMar>
          </w:tcPr>
          <w:p>
            <w:pPr>
              <w:spacing w:after="0" w:line="200"/>
              <w:jc w:val="right"/>
            </w:pPr>
            <w:r>
              <w:rPr>
                <w:rFonts w:ascii="Calibri" w:cs="Calibri" w:eastAsia="Calibri" w:hAnsi="Calibri"/>
                <w:b/>
                <w:bCs/>
                <w:sz w:val="14"/>
                <w:szCs w:val="14"/>
              </w:rPr>
              <w:t xml:space="preserve">Material</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8,742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8,609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18,303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GEN</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80,190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60,014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56,651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18,303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GEN</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5,371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5,162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4,811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401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398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1,646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1,557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299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4,960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4,960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17,898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545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516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1,649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46,110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2,878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43,231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33,892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33,892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4,797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4,797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1,026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5,923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2,640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3,282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501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1,498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1,260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11,975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769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11,206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21,869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GEN</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102,334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78,110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73,782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21,869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310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GEN</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6,945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6,635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6,172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505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500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2,580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687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1,893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7,125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7,125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719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710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21,692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689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623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59,500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3,096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56,404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43,657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43,657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6,170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6,170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1,257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7,697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2,825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4,871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599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1,976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271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1,705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16,112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678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15,435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26,283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GEN</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129,979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100,159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95,215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26,283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680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GEN</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12,140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11,459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10,693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625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618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2,676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605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2,071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304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10,359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10,359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1,035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1,010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25,820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1,012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2,831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72,588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3,501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69,087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53,521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53,521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7,578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7,578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1,798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9,164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3,208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5,957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832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2,325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293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2,032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16,816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1,073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15,743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28,399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GEN</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138,468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106,373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100,412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28,399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960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GEN</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18,267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17,307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16,154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683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680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2,882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1,884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332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9,898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9,898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1,933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1,910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27,921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1,044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1,000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2,706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72,250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3,736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68,514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53,206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53,206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7,572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7,572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1,599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9,292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3,433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5,860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2,180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303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1,876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17,297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1,891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15,406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44,020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GEN</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168,810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119,888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112,802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44,020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1,700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GEN</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25,555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23,855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22,365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776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764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3,697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1,690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454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364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362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8,286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8,286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2,417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2,382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43,390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1,495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1,346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227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227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3,170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78,736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3,704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75,031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58,143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58,143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8,298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8,298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1,972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9,906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3,432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6,474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1,040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2,389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272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2,116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19,013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1,001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18,011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42,123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GEN</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177,439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130,590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123,856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42,123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1,091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GEN</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26,890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25,799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23,691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783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783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3,639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2,749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542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401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401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9,833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9,833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2,672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2,661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41,264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1,411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1,316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3,607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85,778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3,625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82,153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63,443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63,443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220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8,990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8,990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2,187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10,784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3,315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7,469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1,181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2,561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310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2,251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17,121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916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16,205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35,531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GEN</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148,459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108,980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102,856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35,531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909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GEN</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23,621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22,712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21,032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592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591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3,489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811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2,678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427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8,518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8,518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2,786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2,786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34,884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1,342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1,241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2,960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69,147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3,528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65,619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51,179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51,178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191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7,283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7,246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1,734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8,682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3,225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5,457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1,015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2,003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265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1,738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17,896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975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16,921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15,742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GEN</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119,188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99,138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93,971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15,742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943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GEN</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17,134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16,191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15,158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523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522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3,190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887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2,303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320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183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9,515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9,515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3,151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3,148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15,213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1,209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1,129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3,289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65,051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3,159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61,892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49,226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49,225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4,647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4,623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1,388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7,898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2,435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5,463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1,766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3,280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699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2,581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15,170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1,333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13,837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DMDP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21,757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from dismantling and de-pollution of end-of-life-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GEN</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119,054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93,377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86,967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ELV</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21,757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only from end-of-life vehicles of type pa</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514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GEN</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8,098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7,584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EXP</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6,868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exported</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561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558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LIQ</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136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Liquids (excluding fuel) (LoW: 1301 until 1305+1308+140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3,298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1,275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2,023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W160103</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332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tyres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W160107</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oil filters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W160119</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large plastic parts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W160120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glass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7,228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7,228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metal components (LoW: 160117+160</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2,553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2,547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W1601C</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21,187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End-of-life vehicles: other materials arising from dism</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1,108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1,064</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W1606</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Batteries and accumulators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168</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W1608</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REU</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Catalysts</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3,350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70,623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4,361</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66,262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Waste arising from shredding of end-of-life vehicles (W</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25</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53,282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W191001</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53,280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Ferrous scrap (steel) from shredding</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87</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5,066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36</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W191002</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5,030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Non-ferrous materials (aluminium, copper, zinc, lead, e</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1,469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8,582</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3,323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W1910A</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5,259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Shredder Light Fraction (SLF) (LoW: 191003+191004)</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DSP</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1,769</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3,693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RCV_E</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1,000</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r>
        <w:tc>
          <w:tcPr>
            <w:tcW w:type="dxa" w:w="900"/>
            <w:tcMar>
              <w:top w:type="dxa" w:w="20"/>
              <w:left w:type="dxa" w:w="60"/>
              <w:bottom w:type="dxa" w:w="20"/>
              <w:right w:type="dxa" w:w="60"/>
            </w:tcMar>
          </w:tcPr>
          <w:p>
            <w:pPr>
              <w:spacing w:after="0" w:line="200"/>
            </w:pPr>
            <w:r>
              <w:rPr>
                <w:rFonts w:ascii="Calibri" w:cs="Calibri" w:eastAsia="Calibri" w:hAnsi="Calibri"/>
                <w:sz w:val="14"/>
                <w:szCs w:val="14"/>
              </w:rPr>
              <w:t xml:space="preserve">2015</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W1910B</w:t>
            </w:r>
          </w:p>
        </w:tc>
        <w:tc>
          <w:tcPr>
            <w:tcW w:type="dxa" w:w="1300"/>
            <w:tcMar>
              <w:top w:type="dxa" w:w="20"/>
              <w:left w:type="dxa" w:w="60"/>
              <w:bottom w:type="dxa" w:w="20"/>
              <w:right w:type="dxa" w:w="60"/>
            </w:tcMar>
          </w:tcPr>
          <w:p>
            <w:pPr>
              <w:spacing w:after="0" w:line="200"/>
            </w:pPr>
            <w:r>
              <w:rPr>
                <w:rFonts w:ascii="Calibri" w:cs="Calibri" w:eastAsia="Calibri" w:hAnsi="Calibri"/>
                <w:sz w:val="14"/>
                <w:szCs w:val="14"/>
              </w:rPr>
              <w:t xml:space="preserve">RCY</w:t>
            </w:r>
          </w:p>
        </w:tc>
        <w:tc>
          <w:tcPr>
            <w:tcW w:type="dxa" w:w="1500"/>
            <w:tcMar>
              <w:top w:type="dxa" w:w="20"/>
              <w:left w:type="dxa" w:w="60"/>
              <w:bottom w:type="dxa" w:w="20"/>
              <w:right w:type="dxa" w:w="60"/>
            </w:tcMar>
          </w:tcPr>
          <w:p>
            <w:pPr>
              <w:spacing w:after="0" w:line="200"/>
              <w:jc w:val="right"/>
            </w:pPr>
            <w:r>
              <w:rPr>
                <w:rFonts w:ascii="Calibri" w:cs="Calibri" w:eastAsia="Calibri" w:hAnsi="Calibri"/>
                <w:sz w:val="14"/>
                <w:szCs w:val="14"/>
              </w:rPr>
              <w:t xml:space="preserve">2,693</w:t>
            </w:r>
          </w:p>
        </w:tc>
        <w:tc>
          <w:tcPr>
            <w:tcW w:type="dxa" w:w="7960"/>
            <w:tcMar>
              <w:top w:type="dxa" w:w="20"/>
              <w:left w:type="dxa" w:w="60"/>
              <w:bottom w:type="dxa" w:w="20"/>
              <w:right w:type="dxa" w:w="60"/>
            </w:tcMar>
          </w:tcPr>
          <w:p>
            <w:pPr>
              <w:spacing w:after="0" w:line="200"/>
              <w:jc w:val="right"/>
            </w:pPr>
            <w:r>
              <w:rPr>
                <w:rFonts w:ascii="Calibri" w:cs="Calibri" w:eastAsia="Calibri" w:hAnsi="Calibri"/>
                <w:sz w:val="14"/>
                <w:szCs w:val="14"/>
              </w:rPr>
              <w:t xml:space="preserve">Other materials arising from shredding (LoW: 191005+191</w:t>
            </w:r>
          </w:p>
        </w:tc>
      </w:tr>
    </w:tbl>
    <w:p>
      <w:pPr>
        <w:spacing w:after="0" w:line="270"/>
      </w:pPr>
      <w:r>
        <w:rPr>
          <w:rFonts w:ascii="Calibri" w:cs="Calibri" w:eastAsia="Calibri" w:hAnsi="Calibri"/>
          <w:color w:val="595959"/>
          <w:sz w:val="18"/>
          <w:szCs w:val="18"/>
        </w:rPr>
        <w:t xml:space="preserve">Reconciliation check for 2023: total recycled 56,651 t = dismantling and depollution 8,609 t + shredding 43,231 t + exported 4,811 t. The exported portion is what should be excluded when attributing value to domestic processing.</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2026-08-14T03:05:49.649Z</dcterms:created>
  <dcterms:modified xsi:type="dcterms:W3CDTF">2026-08-14T03:05:49.649Z</dcterms:modified>
</cp:coreProperties>
</file>

<file path=docProps/custom.xml><?xml version="1.0" encoding="utf-8"?>
<Properties xmlns="http://schemas.openxmlformats.org/officeDocument/2006/custom-properties" xmlns:vt="http://schemas.openxmlformats.org/officeDocument/2006/docPropsVTypes"/>
</file>