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2" w:type="dxa"/>
        <w:tblLayout w:type="fixed"/>
        <w:tblLook w:val="0420" w:firstRow="1" w:lastRow="0" w:firstColumn="0" w:lastColumn="0" w:noHBand="0" w:noVBand="1"/>
      </w:tblPr>
      <w:tblGrid>
        <w:gridCol w:w="1512"/>
        <w:gridCol w:w="1512"/>
        <w:gridCol w:w="1512"/>
        <w:gridCol w:w="1512"/>
        <w:gridCol w:w="1512"/>
        <w:gridCol w:w="1512"/>
      </w:tblGrid>
      <w:tr w:rsidR="00A1247C" w:rsidRPr="00A1247C" w14:paraId="26CD0BA8" w14:textId="77777777" w:rsidTr="00395EB1">
        <w:trPr>
          <w:tblHeader/>
        </w:trPr>
        <w:tc>
          <w:tcPr>
            <w:tcW w:w="151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2974CA99" w14:textId="77CBC602" w:rsidR="00A1247C" w:rsidRPr="004A7732" w:rsidRDefault="00A1247C" w:rsidP="00395E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b/>
                <w:bCs/>
                <w:color w:val="000000"/>
                <w:sz w:val="20"/>
                <w:szCs w:val="20"/>
              </w:rPr>
            </w:pPr>
            <w:bookmarkStart w:id="0" w:name="_Hlk200532616"/>
            <w:r w:rsidRPr="004A7732">
              <w:rPr>
                <w:rFonts w:asciiTheme="majorBidi" w:eastAsia="Arial" w:hAnsiTheme="majorBidi" w:cstheme="majorBidi"/>
                <w:b/>
                <w:bCs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51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612D3774" w14:textId="74A71F64" w:rsidR="00A1247C" w:rsidRPr="004A7732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A7732">
              <w:rPr>
                <w:rFonts w:asciiTheme="majorBidi" w:eastAsia="Arial" w:hAnsiTheme="majorBidi" w:cstheme="majorBidi"/>
                <w:b/>
                <w:bCs/>
                <w:color w:val="000000"/>
                <w:sz w:val="20"/>
                <w:szCs w:val="20"/>
              </w:rPr>
              <w:t>Migration background</w:t>
            </w:r>
          </w:p>
        </w:tc>
        <w:tc>
          <w:tcPr>
            <w:tcW w:w="151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3829EE3F" w14:textId="7FB7C675" w:rsidR="00A1247C" w:rsidRPr="004A7732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eastAsia="Arial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A7732">
              <w:rPr>
                <w:rFonts w:asciiTheme="majorBidi" w:eastAsia="Arial" w:hAnsiTheme="majorBidi" w:cstheme="majorBidi"/>
                <w:b/>
                <w:bCs/>
                <w:color w:val="000000"/>
                <w:sz w:val="20"/>
                <w:szCs w:val="20"/>
              </w:rPr>
              <w:t>Educational level</w:t>
            </w:r>
          </w:p>
        </w:tc>
        <w:tc>
          <w:tcPr>
            <w:tcW w:w="151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2285F9F4" w14:textId="59B1F905" w:rsidR="00A1247C" w:rsidRPr="004A7732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eastAsia="Arial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A7732">
              <w:rPr>
                <w:rFonts w:asciiTheme="majorBidi" w:eastAsia="Arial" w:hAnsiTheme="majorBidi" w:cstheme="majorBidi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51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B453D" w14:textId="3281E177" w:rsidR="00A1247C" w:rsidRPr="004A7732" w:rsidRDefault="00395EB1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A7732">
              <w:rPr>
                <w:rFonts w:asciiTheme="majorBidi" w:eastAsia="Arial" w:hAnsiTheme="majorBidi" w:cstheme="majorBidi"/>
                <w:b/>
                <w:bCs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151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C0AF4" w14:textId="24C7E64D" w:rsidR="00A1247C" w:rsidRPr="004A7732" w:rsidRDefault="00395EB1" w:rsidP="00395E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A7732">
              <w:rPr>
                <w:rFonts w:asciiTheme="majorBidi" w:eastAsia="Arial" w:hAnsiTheme="majorBidi" w:cstheme="majorBidi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</w:tr>
      <w:tr w:rsidR="00A1247C" w:rsidRPr="00A1247C" w14:paraId="59B7BB0E" w14:textId="77777777" w:rsidTr="00395EB1">
        <w:tc>
          <w:tcPr>
            <w:tcW w:w="15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138F464" w14:textId="18B9DB40" w:rsidR="00A1247C" w:rsidRPr="004E3AE0" w:rsidRDefault="00A1247C" w:rsidP="00395E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Women</w:t>
            </w:r>
          </w:p>
        </w:tc>
        <w:tc>
          <w:tcPr>
            <w:tcW w:w="15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8EB6E48" w14:textId="73734339" w:rsidR="00A1247C" w:rsidRPr="004E3AE0" w:rsidRDefault="00A1247C" w:rsidP="00395E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No migration background</w:t>
            </w:r>
          </w:p>
        </w:tc>
        <w:tc>
          <w:tcPr>
            <w:tcW w:w="15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101EFB0" w14:textId="081CC7CC" w:rsidR="00A1247C" w:rsidRPr="004E3AE0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High</w:t>
            </w:r>
          </w:p>
        </w:tc>
        <w:tc>
          <w:tcPr>
            <w:tcW w:w="15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776412D" w14:textId="3347B361" w:rsidR="00A1247C" w:rsidRPr="004E3AE0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Middle</w:t>
            </w:r>
          </w:p>
        </w:tc>
        <w:tc>
          <w:tcPr>
            <w:tcW w:w="15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89BA7" w14:textId="2084555C" w:rsidR="00A1247C" w:rsidRPr="004E3AE0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2</w:t>
            </w:r>
            <w:r w:rsidR="00395EB1"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.</w:t>
            </w: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817</w:t>
            </w:r>
          </w:p>
        </w:tc>
        <w:tc>
          <w:tcPr>
            <w:tcW w:w="15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81FC6" w14:textId="77777777" w:rsidR="00A1247C" w:rsidRPr="004E3AE0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9.41%</w:t>
            </w:r>
          </w:p>
        </w:tc>
      </w:tr>
      <w:tr w:rsidR="00A1247C" w:rsidRPr="004E3AE0" w14:paraId="075245C0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3EC5F76" w14:textId="4DF3A9CC" w:rsidR="00A1247C" w:rsidRPr="004E3AE0" w:rsidRDefault="00A1247C" w:rsidP="004E3A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344F445" w14:textId="3A7A800F" w:rsidR="00A1247C" w:rsidRPr="004E3AE0" w:rsidRDefault="00A1247C" w:rsidP="004E3A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No migration background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7DD11AB" w14:textId="378BEDAD" w:rsidR="00A1247C" w:rsidRPr="004E3AE0" w:rsidRDefault="00A1247C" w:rsidP="004E3A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High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EC6F015" w14:textId="1B9144C2" w:rsidR="00A1247C" w:rsidRPr="004E3AE0" w:rsidRDefault="00A1247C" w:rsidP="004E3A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FEE8F" w14:textId="092B833A" w:rsidR="00A1247C" w:rsidRPr="004E3AE0" w:rsidRDefault="00A1247C" w:rsidP="004E3A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2</w:t>
            </w:r>
            <w:r w:rsidR="00395EB1"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.</w:t>
            </w: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375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FBA7F" w14:textId="77777777" w:rsidR="00A1247C" w:rsidRPr="004E3AE0" w:rsidRDefault="00A1247C" w:rsidP="004E3A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7.94%</w:t>
            </w:r>
          </w:p>
        </w:tc>
      </w:tr>
      <w:tr w:rsidR="00A1247C" w:rsidRPr="00A1247C" w14:paraId="39E78121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936A1BD" w14:textId="0E9E5430" w:rsidR="00A1247C" w:rsidRPr="00A1247C" w:rsidRDefault="00A1247C" w:rsidP="00395E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CB82F59" w14:textId="10A2289E" w:rsidR="00A1247C" w:rsidRPr="00A1247C" w:rsidRDefault="00A1247C" w:rsidP="00395E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 migration background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C8F1C13" w14:textId="613192ED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65C4099" w14:textId="413F6BAB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Young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1F7A0" w14:textId="31A8189D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2</w:t>
            </w:r>
            <w:r w:rsidR="00395EB1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.</w:t>
            </w: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023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58260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6.76%</w:t>
            </w:r>
          </w:p>
        </w:tc>
      </w:tr>
      <w:tr w:rsidR="00A1247C" w:rsidRPr="00A1247C" w14:paraId="7AC4D6E4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694D735" w14:textId="605AE816" w:rsidR="00A1247C" w:rsidRPr="00A1247C" w:rsidRDefault="00A1247C" w:rsidP="00395E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32B70F0" w14:textId="6EB46EC1" w:rsidR="00A1247C" w:rsidRPr="00A1247C" w:rsidRDefault="00A1247C" w:rsidP="00395E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 migration background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0BE7DD2" w14:textId="1D7DEDCD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F6EA1B7" w14:textId="6912F093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A5C5C" w14:textId="5C411C14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</w:t>
            </w:r>
            <w:r w:rsidR="00395EB1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.</w:t>
            </w: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955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6115D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6.53%</w:t>
            </w:r>
          </w:p>
        </w:tc>
      </w:tr>
      <w:tr w:rsidR="00A1247C" w:rsidRPr="00A1247C" w14:paraId="6CB43D42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AD16101" w14:textId="1D362473" w:rsidR="00A1247C" w:rsidRPr="004E3AE0" w:rsidRDefault="00A1247C" w:rsidP="00395E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5DD8649" w14:textId="5336FF15" w:rsidR="00A1247C" w:rsidRPr="004E3AE0" w:rsidRDefault="00A1247C" w:rsidP="00395E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No migration background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28DDF18" w14:textId="6C7D567E" w:rsidR="00A1247C" w:rsidRPr="004E3AE0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EFCF9E9" w14:textId="05517350" w:rsidR="00A1247C" w:rsidRPr="004E3AE0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223EA" w14:textId="33B3365B" w:rsidR="00A1247C" w:rsidRPr="004E3AE0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1</w:t>
            </w:r>
            <w:r w:rsidR="00395EB1"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.</w:t>
            </w: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749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8AEBC" w14:textId="77777777" w:rsidR="00A1247C" w:rsidRPr="004E3AE0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5.85%</w:t>
            </w:r>
          </w:p>
        </w:tc>
      </w:tr>
      <w:tr w:rsidR="00A1247C" w:rsidRPr="00A1247C" w14:paraId="133E84B3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7721A66" w14:textId="77DAD12A" w:rsidR="00A1247C" w:rsidRPr="004E3AE0" w:rsidRDefault="00A1247C" w:rsidP="00395E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475E538" w14:textId="59C4F4C4" w:rsidR="00A1247C" w:rsidRPr="004E3AE0" w:rsidRDefault="00A1247C" w:rsidP="00395E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No migration background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E0C6349" w14:textId="119E0ABE" w:rsidR="00A1247C" w:rsidRPr="004E3AE0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111DDB8" w14:textId="150B4C81" w:rsidR="00A1247C" w:rsidRPr="004E3AE0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Old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ACFCA" w14:textId="0F266522" w:rsidR="00A1247C" w:rsidRPr="004E3AE0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1</w:t>
            </w:r>
            <w:r w:rsidR="00395EB1"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.</w:t>
            </w: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625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25333" w14:textId="77777777" w:rsidR="00A1247C" w:rsidRPr="004E3AE0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5.43%</w:t>
            </w:r>
          </w:p>
        </w:tc>
      </w:tr>
      <w:tr w:rsidR="00A1247C" w:rsidRPr="00A1247C" w14:paraId="6BD3558E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FDC8899" w14:textId="29EDF448" w:rsidR="00A1247C" w:rsidRPr="00A1247C" w:rsidRDefault="00A1247C" w:rsidP="00395E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A0984A5" w14:textId="733D5885" w:rsidR="00A1247C" w:rsidRPr="00A1247C" w:rsidRDefault="00A1247C" w:rsidP="00395E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 migration background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D84490C" w14:textId="6D0E6F00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CA19638" w14:textId="73CE7C03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Old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0715A" w14:textId="2C50B024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</w:t>
            </w:r>
            <w:r w:rsidR="00395EB1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.</w:t>
            </w: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94E08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5.14%</w:t>
            </w:r>
          </w:p>
        </w:tc>
      </w:tr>
      <w:tr w:rsidR="00A1247C" w:rsidRPr="00A1247C" w14:paraId="21FB8879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81A5B85" w14:textId="3699645F" w:rsidR="00A1247C" w:rsidRPr="00A1247C" w:rsidRDefault="00A1247C" w:rsidP="00395E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95FFC96" w14:textId="76FD5F7B" w:rsidR="00A1247C" w:rsidRPr="00A1247C" w:rsidRDefault="00A1247C" w:rsidP="00395E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 migration background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0E5C38A" w14:textId="2E8EBB4B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200BDB" w14:textId="5A196FBD" w:rsidR="00A1247C" w:rsidRPr="00A1247C" w:rsidRDefault="004A7732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Y</w:t>
            </w:r>
            <w:r w:rsid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oung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C4B3C" w14:textId="4E7AB6A7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</w:t>
            </w:r>
            <w:r w:rsidR="00395EB1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.</w:t>
            </w: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EFD63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4.83%</w:t>
            </w:r>
          </w:p>
        </w:tc>
      </w:tr>
      <w:tr w:rsidR="00A1247C" w:rsidRPr="00A1247C" w14:paraId="44FF8A70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B6C211D" w14:textId="02E5A674" w:rsidR="00A1247C" w:rsidRPr="00A1247C" w:rsidRDefault="00A1247C" w:rsidP="00395E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3D582C8" w14:textId="0875DFCB" w:rsidR="00A1247C" w:rsidRPr="00A1247C" w:rsidRDefault="00A1247C" w:rsidP="00395E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 migration background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46255A3" w14:textId="48DC07E0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F3B37D4" w14:textId="2BF50F2B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Old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B7073" w14:textId="18E20701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</w:t>
            </w:r>
            <w:r w:rsidR="00395EB1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.</w:t>
            </w: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5DB6B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4.55%</w:t>
            </w:r>
          </w:p>
        </w:tc>
      </w:tr>
      <w:tr w:rsidR="00A1247C" w:rsidRPr="00A1247C" w14:paraId="68B5FE0D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C8A1F33" w14:textId="323A072B" w:rsidR="00A1247C" w:rsidRPr="00A1247C" w:rsidRDefault="00A1247C" w:rsidP="00395E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7B087B6" w14:textId="1D5397A7" w:rsidR="00A1247C" w:rsidRPr="00A1247C" w:rsidRDefault="00A1247C" w:rsidP="00395E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 migration back</w:t>
            </w:r>
            <w:r w:rsidR="00395EB1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g</w:t>
            </w: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round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2F46B77" w14:textId="455F9E07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06612ED" w14:textId="79C989C0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Young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6B2B1" w14:textId="794B96CA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</w:t>
            </w:r>
            <w:r w:rsidR="00395EB1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.</w:t>
            </w: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20711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4.46%</w:t>
            </w:r>
          </w:p>
        </w:tc>
      </w:tr>
      <w:tr w:rsidR="00A1247C" w:rsidRPr="00A1247C" w14:paraId="54A9112B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B8DE7BE" w14:textId="1F712A94" w:rsidR="00A1247C" w:rsidRPr="00A1247C" w:rsidRDefault="00A1247C" w:rsidP="00395E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53ED82F" w14:textId="0870C8BC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 migration background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47F1D27" w14:textId="5BBF88EE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65A2D57" w14:textId="0D7B4CCF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Old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6B5FE" w14:textId="5B4416D3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</w:t>
            </w:r>
            <w:r w:rsidR="00395EB1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.</w:t>
            </w: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093F6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4.34%</w:t>
            </w:r>
          </w:p>
        </w:tc>
      </w:tr>
      <w:tr w:rsidR="00A1247C" w:rsidRPr="00A1247C" w14:paraId="215DC8A3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486DBB0" w14:textId="1DC5A5B8" w:rsidR="00A1247C" w:rsidRPr="00A1247C" w:rsidRDefault="00A1247C" w:rsidP="00395E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EEC4761" w14:textId="7135ACC2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 migration background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361DF22" w14:textId="1ABFE5D3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F93C3B3" w14:textId="39EE2256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Young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96C83" w14:textId="69F8BAE2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</w:t>
            </w:r>
            <w:r w:rsidR="00395EB1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.</w:t>
            </w: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4B76E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4.25%</w:t>
            </w:r>
          </w:p>
        </w:tc>
      </w:tr>
      <w:tr w:rsidR="00A1247C" w:rsidRPr="00A1247C" w14:paraId="02928DD8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FD8704B" w14:textId="512105FD" w:rsidR="00A1247C" w:rsidRPr="004E3AE0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88C0571" w14:textId="74BA6588" w:rsidR="00A1247C" w:rsidRPr="004E3AE0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No migration background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453B23C" w14:textId="26017F3B" w:rsidR="00A1247C" w:rsidRPr="004E3AE0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Low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688C1F5" w14:textId="20E3EF42" w:rsidR="00A1247C" w:rsidRPr="004E3AE0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Old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CC0C0" w14:textId="0AB51D43" w:rsidR="00A1247C" w:rsidRPr="004E3AE0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1</w:t>
            </w:r>
            <w:r w:rsidR="00395EB1"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.</w:t>
            </w: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041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B5181" w14:textId="77777777" w:rsidR="00A1247C" w:rsidRPr="004E3AE0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3.48%</w:t>
            </w:r>
          </w:p>
        </w:tc>
      </w:tr>
      <w:tr w:rsidR="00A1247C" w:rsidRPr="00A1247C" w14:paraId="2061ADB0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C1AAAE1" w14:textId="4308757F" w:rsidR="00A1247C" w:rsidRPr="004E3AE0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245E683" w14:textId="6569777A" w:rsidR="00A1247C" w:rsidRPr="004E3AE0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No migration background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ADD8164" w14:textId="035A556F" w:rsidR="00A1247C" w:rsidRPr="004E3AE0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Low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BED36A" w14:textId="6D5C1C81" w:rsidR="00A1247C" w:rsidRPr="004E3AE0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Old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E2B6F" w14:textId="3785A2AF" w:rsidR="00A1247C" w:rsidRPr="004E3AE0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715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5079B" w14:textId="77777777" w:rsidR="00A1247C" w:rsidRPr="004E3AE0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2.39%</w:t>
            </w:r>
          </w:p>
        </w:tc>
      </w:tr>
      <w:tr w:rsidR="00A1247C" w:rsidRPr="00A1247C" w14:paraId="64B2BC4E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AF3E737" w14:textId="4F165968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F49FE4A" w14:textId="4128C739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 migration background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5EA40FC" w14:textId="66EEE554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7A8AF0B" w14:textId="4B873304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Young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FCE7F" w14:textId="5FC15A0E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711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1CEAE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2.38%</w:t>
            </w:r>
          </w:p>
        </w:tc>
      </w:tr>
      <w:tr w:rsidR="00A1247C" w:rsidRPr="00A1247C" w14:paraId="0E54101B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52E9C46" w14:textId="0E7814DE" w:rsidR="00A1247C" w:rsidRPr="004E3AE0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31F1421" w14:textId="2AF5960C" w:rsidR="00A1247C" w:rsidRPr="004E3AE0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No migration background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1AEE209" w14:textId="1EB67862" w:rsidR="00A1247C" w:rsidRPr="004E3AE0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Low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FF5DB32" w14:textId="26D3528D" w:rsidR="00A1247C" w:rsidRPr="004E3AE0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210EB" w14:textId="3D4FF850" w:rsidR="00A1247C" w:rsidRPr="004E3AE0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651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0009B" w14:textId="77777777" w:rsidR="00A1247C" w:rsidRPr="004E3AE0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4E3AE0">
              <w:rPr>
                <w:rFonts w:asciiTheme="majorBidi" w:eastAsia="Arial" w:hAnsiTheme="majorBidi" w:cstheme="majorBidi"/>
                <w:color w:val="000000"/>
                <w:sz w:val="20"/>
                <w:szCs w:val="20"/>
                <w:highlight w:val="yellow"/>
              </w:rPr>
              <w:t>2.18%</w:t>
            </w:r>
          </w:p>
        </w:tc>
      </w:tr>
      <w:tr w:rsidR="00A1247C" w:rsidRPr="00A1247C" w14:paraId="68E69DCB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94E7396" w14:textId="392D7327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7DB9393" w14:textId="0DCA18F9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 migration background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DD73928" w14:textId="1EAE4FA2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64FE201" w14:textId="6C2A8418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Young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8169E" w14:textId="55E6E79A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86564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2.17%</w:t>
            </w:r>
          </w:p>
        </w:tc>
      </w:tr>
      <w:tr w:rsidR="00A1247C" w:rsidRPr="00A1247C" w14:paraId="5CD55771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585A702" w14:textId="32FBE324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5E4BD6A" w14:textId="4FC7295A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 migration background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0A5314B" w14:textId="7B1288CF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45E083D" w14:textId="67D1C809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8377D" w14:textId="119DF8CA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57E91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1.66%</w:t>
            </w:r>
          </w:p>
        </w:tc>
      </w:tr>
      <w:tr w:rsidR="00A1247C" w:rsidRPr="00A1247C" w14:paraId="24ABD256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DCE3917" w14:textId="3A587D6E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B34FD46" w14:textId="58028A43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Non-European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3B7B247" w14:textId="3A717289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CA4A441" w14:textId="2EA2ECF1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11D00" w14:textId="566F0877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247DE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1.18%</w:t>
            </w:r>
          </w:p>
        </w:tc>
      </w:tr>
      <w:tr w:rsidR="00A1247C" w:rsidRPr="00A1247C" w14:paraId="619B43BA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7FA3BD7" w14:textId="63BD415C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53067A6" w14:textId="567A8235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Non-European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E6EA4C7" w14:textId="2DA3ABBE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76E40EA" w14:textId="240A5387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558CE" w14:textId="533E4873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CA463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1.15%</w:t>
            </w:r>
          </w:p>
        </w:tc>
      </w:tr>
      <w:tr w:rsidR="00A1247C" w:rsidRPr="00A1247C" w14:paraId="727DB481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DF2FA0E" w14:textId="7D470B06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77D847D" w14:textId="1A06193A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Non-European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DB9F948" w14:textId="637CE554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1DCC71F" w14:textId="366A7265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Young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775BA" w14:textId="7BBD2260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C2E6D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0.96%</w:t>
            </w:r>
          </w:p>
        </w:tc>
      </w:tr>
      <w:tr w:rsidR="00A1247C" w:rsidRPr="00A1247C" w14:paraId="2C6DBD13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5807726" w14:textId="597230EC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lastRenderedPageBreak/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B3B8A1D" w14:textId="4C3B86FE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3A61457" w14:textId="5FE33BC2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28712CD" w14:textId="57DF39E2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54749" w14:textId="2DCFA8AF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C8240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0.90%</w:t>
            </w:r>
          </w:p>
        </w:tc>
      </w:tr>
      <w:tr w:rsidR="00A1247C" w:rsidRPr="00A1247C" w14:paraId="52DD2609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179596D" w14:textId="27A0C1DC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BD9DB9" w14:textId="30E1FD8A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Non-European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E4D7585" w14:textId="14C1E5BA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D9AC3AD" w14:textId="1147DD76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C22B1" w14:textId="62E8F20D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BBBB7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0.75%</w:t>
            </w:r>
          </w:p>
        </w:tc>
      </w:tr>
      <w:tr w:rsidR="00A1247C" w:rsidRPr="00A1247C" w14:paraId="0275355F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20EF2F1" w14:textId="043499D3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E67758B" w14:textId="412BE77D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Non-European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B4A3945" w14:textId="7171E474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4A896CE" w14:textId="640C83AB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Young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29290" w14:textId="55518D5A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D6CD6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0.74%</w:t>
            </w:r>
          </w:p>
        </w:tc>
      </w:tr>
      <w:tr w:rsidR="00A1247C" w:rsidRPr="00A1247C" w14:paraId="446026BD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631BCC6" w14:textId="0EC15361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F2DC5CB" w14:textId="7F425930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Non-European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2DB952E" w14:textId="0CBC335A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D0A83D6" w14:textId="383766DD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39D9D" w14:textId="42AE1FE6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28FB6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0.64%</w:t>
            </w:r>
          </w:p>
        </w:tc>
      </w:tr>
      <w:tr w:rsidR="00A1247C" w:rsidRPr="00A1247C" w14:paraId="41627522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33038DB" w14:textId="2E53D0F4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F97F972" w14:textId="6F30F930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Non-European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4CB82D4" w14:textId="2B8F6069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0433758" w14:textId="2D00F426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Young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A8360" w14:textId="077074F3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EB7EB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0.64%</w:t>
            </w:r>
          </w:p>
        </w:tc>
      </w:tr>
      <w:tr w:rsidR="00A1247C" w:rsidRPr="00A1247C" w14:paraId="60724314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75CCE4A" w14:textId="2F05B655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7E9903D" w14:textId="0C211E09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90D6D14" w14:textId="4E01B0DA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5F22B9C" w14:textId="14604931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Young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B1AF2" w14:textId="2DAECCC3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5AA47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0.63%</w:t>
            </w:r>
          </w:p>
        </w:tc>
      </w:tr>
      <w:tr w:rsidR="00A1247C" w:rsidRPr="00A1247C" w14:paraId="7B5B22ED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19ED439" w14:textId="385157FE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5239039" w14:textId="12AC2E5A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Non-European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0F853E5" w14:textId="2BD75F25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0249B26" w14:textId="0243DBB5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Young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8240A" w14:textId="567FCE92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B7318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0.62%</w:t>
            </w:r>
          </w:p>
        </w:tc>
      </w:tr>
      <w:tr w:rsidR="00A1247C" w:rsidRPr="00A1247C" w14:paraId="199BA3E1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6C608D7" w14:textId="0D971204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A70DFB8" w14:textId="699D00A9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28D7AA9" w14:textId="4CA806E6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20E158E" w14:textId="0003FD07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3662C" w14:textId="1760A7B2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3763C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0.54%</w:t>
            </w:r>
          </w:p>
        </w:tc>
      </w:tr>
      <w:tr w:rsidR="00A1247C" w:rsidRPr="00A1247C" w14:paraId="5980E251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81E8EB9" w14:textId="7CD6107F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142DCB3" w14:textId="1F6A8B59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Non-European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F5854FB" w14:textId="4E26F8DA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7538E2A" w14:textId="1027F62B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Young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C78C5" w14:textId="215DD225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1DFBB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0.46%</w:t>
            </w:r>
          </w:p>
        </w:tc>
      </w:tr>
      <w:tr w:rsidR="00A1247C" w:rsidRPr="00A1247C" w14:paraId="48BDB3A2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1E426D7" w14:textId="0B4E496F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28FE474" w14:textId="00E73FAE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B450614" w14:textId="2D36A1FC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81680BB" w14:textId="3293B481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15C66" w14:textId="4B81A7FD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27F62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0.44%</w:t>
            </w:r>
          </w:p>
        </w:tc>
      </w:tr>
      <w:tr w:rsidR="00A1247C" w:rsidRPr="00A1247C" w14:paraId="2E805160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ECDB50A" w14:textId="27A995B9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B46ACFB" w14:textId="659B7616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Non-European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201AFFB" w14:textId="06C21E12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2788762" w14:textId="144AE5C6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Young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7141A" w14:textId="22556E63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AF546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0.44%</w:t>
            </w:r>
          </w:p>
        </w:tc>
      </w:tr>
      <w:tr w:rsidR="00A1247C" w:rsidRPr="00A1247C" w14:paraId="7BF2BC14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781BEB8" w14:textId="2C943936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113B210" w14:textId="4F055BC6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Non-European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DD4625F" w14:textId="0E3641C6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FFDE201" w14:textId="5BDA7CAD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Old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1BE1C" w14:textId="24EE9604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70A4B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0.42%</w:t>
            </w:r>
          </w:p>
        </w:tc>
      </w:tr>
      <w:tr w:rsidR="00A1247C" w:rsidRPr="00A1247C" w14:paraId="1D63BE34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80580A1" w14:textId="7DEBBA7F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6F2A5E3" w14:textId="54B4A164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DB810BB" w14:textId="4FF375EE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D33FE37" w14:textId="1A5F9DDF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Young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7A8ED" w14:textId="79D4364C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850E1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0.41%</w:t>
            </w:r>
          </w:p>
        </w:tc>
      </w:tr>
      <w:tr w:rsidR="00A1247C" w:rsidRPr="00A1247C" w14:paraId="787B73C2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D3F9F2C" w14:textId="3E4A604E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21D23E1" w14:textId="5D19E676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Non-European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4D680A5" w14:textId="7E47BDFE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5FF8E4F" w14:textId="64B093DA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Old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9902E" w14:textId="2EAC6085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D1AD7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0.40%</w:t>
            </w:r>
          </w:p>
        </w:tc>
      </w:tr>
      <w:tr w:rsidR="00A1247C" w:rsidRPr="00A1247C" w14:paraId="1B588159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86FA540" w14:textId="76C1257A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F4230CF" w14:textId="302ECE9D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Non-European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DF09D81" w14:textId="4B5409FF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BA86801" w14:textId="7A20E002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Old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D77A6" w14:textId="580324D2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3F344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0.39%</w:t>
            </w:r>
          </w:p>
        </w:tc>
      </w:tr>
      <w:tr w:rsidR="00A1247C" w:rsidRPr="00A1247C" w14:paraId="0342DBCE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DD5E546" w14:textId="78F5D579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0D719FA" w14:textId="684F62DC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Non-European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13F5715" w14:textId="785C97C1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CF2710C" w14:textId="609865F6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3F81F" w14:textId="56AAAE6D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2B692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0.38%</w:t>
            </w:r>
          </w:p>
        </w:tc>
      </w:tr>
      <w:tr w:rsidR="00A1247C" w:rsidRPr="00A1247C" w14:paraId="59BD2D13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5C392B3" w14:textId="53E3D45B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F2C7285" w14:textId="37A1FA91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F474C44" w14:textId="223CA42B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83BFEF0" w14:textId="3FD42BDE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81446" w14:textId="2BE7D751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E8EE7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0.35%</w:t>
            </w:r>
          </w:p>
        </w:tc>
      </w:tr>
      <w:tr w:rsidR="00A1247C" w:rsidRPr="00A1247C" w14:paraId="1361909A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C6A058A" w14:textId="57503810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9931309" w14:textId="79030F41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AE6A59D" w14:textId="78E448EB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0B1FF38" w14:textId="62AD56F3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Young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65A5C" w14:textId="30B0261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56F0A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0.34%</w:t>
            </w:r>
          </w:p>
        </w:tc>
      </w:tr>
      <w:tr w:rsidR="00A1247C" w:rsidRPr="00A1247C" w14:paraId="415DD738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D2E7E99" w14:textId="55CE4FDB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F134F72" w14:textId="511AA2A6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Non-European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EBED95B" w14:textId="33AAF843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14B1FA5" w14:textId="1C361104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Old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F6D8C" w14:textId="7798F064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A968A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0.33%</w:t>
            </w:r>
          </w:p>
        </w:tc>
      </w:tr>
      <w:tr w:rsidR="00A1247C" w:rsidRPr="00A1247C" w14:paraId="3E1167BB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6CB2749" w14:textId="476E4B7B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6279612" w14:textId="51ABBDF8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Non-European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7710632" w14:textId="79A6A821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3E6A654" w14:textId="64CE2252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4F69B" w14:textId="7A09C565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562F1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0.32%</w:t>
            </w:r>
          </w:p>
        </w:tc>
      </w:tr>
      <w:tr w:rsidR="00A1247C" w:rsidRPr="00A1247C" w14:paraId="37577C2D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2447BE9" w14:textId="6853F1EB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D0D5B58" w14:textId="6745F00C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Non-European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5207A69" w14:textId="5526AFC3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1DFBE35" w14:textId="7D17A9DC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Old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48D2D" w14:textId="2287E16C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901D1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0.30%</w:t>
            </w:r>
          </w:p>
        </w:tc>
      </w:tr>
      <w:tr w:rsidR="00A1247C" w:rsidRPr="00A1247C" w14:paraId="07C47CBA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AC6D484" w14:textId="09F31020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EE80E4C" w14:textId="3F71E69A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C1BBF81" w14:textId="2C0870D0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00EAA46" w14:textId="2FAD599C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Old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2521" w14:textId="0F90C628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3655E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0.30%</w:t>
            </w:r>
          </w:p>
        </w:tc>
      </w:tr>
      <w:tr w:rsidR="00A1247C" w:rsidRPr="00A1247C" w14:paraId="62AA59A7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BC86031" w14:textId="40E3D00C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50A4E5F" w14:textId="19FD3A3F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4A1E6D3" w14:textId="0210BA22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C9E5377" w14:textId="0A90E978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Old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48970" w14:textId="0DA70CAF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96666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0.26%</w:t>
            </w:r>
          </w:p>
        </w:tc>
      </w:tr>
      <w:tr w:rsidR="00A1247C" w:rsidRPr="00A1247C" w14:paraId="47285597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0F186F2" w14:textId="36DDF780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B896E61" w14:textId="26D459A6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Non-European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49BE8A3" w14:textId="7F7D46AF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BF8FFE3" w14:textId="0C0C55BB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Old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CE611" w14:textId="40F4D76B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2F045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0.23%</w:t>
            </w:r>
          </w:p>
        </w:tc>
      </w:tr>
      <w:tr w:rsidR="00A1247C" w:rsidRPr="00A1247C" w14:paraId="5F6F7B20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C3EBB09" w14:textId="40A1D79A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7E6F313" w14:textId="62250C81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86BDE9F" w14:textId="226E8A19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6671D99" w14:textId="4DE0E0A5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Young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3758A" w14:textId="6A7D5D09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111AB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0.23%</w:t>
            </w:r>
          </w:p>
        </w:tc>
      </w:tr>
      <w:tr w:rsidR="00A1247C" w:rsidRPr="00A1247C" w14:paraId="3ADC70AC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2905F11" w14:textId="764FBFC1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4054239" w14:textId="0286B1DE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D512EE0" w14:textId="17AA476E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6A80FFB" w14:textId="642FB289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Old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447FD" w14:textId="1CE7760A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67CA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0.22%</w:t>
            </w:r>
          </w:p>
        </w:tc>
      </w:tr>
      <w:tr w:rsidR="00A1247C" w:rsidRPr="00A1247C" w14:paraId="515F3568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3107296" w14:textId="118F3D87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A73E62C" w14:textId="40DE2029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0653C3F" w14:textId="2BBF2219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E2F7392" w14:textId="7D0FF507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Old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1BEA" w14:textId="287A12C9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CA191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0.22%</w:t>
            </w:r>
          </w:p>
        </w:tc>
      </w:tr>
      <w:tr w:rsidR="00A1247C" w:rsidRPr="00A1247C" w14:paraId="0F09519F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9E5F4D3" w14:textId="7E8251F5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4A1E9E2" w14:textId="6828DA22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F484ECD" w14:textId="6D2C5E66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AC6560F" w14:textId="2DE9DC28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Young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9A2E2" w14:textId="2D719DFA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A9815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0.21%</w:t>
            </w:r>
          </w:p>
        </w:tc>
      </w:tr>
      <w:tr w:rsidR="00A1247C" w:rsidRPr="00A1247C" w14:paraId="10773B31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CF5865A" w14:textId="70E6C33B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E4FF186" w14:textId="5CEBCB77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0598BC3" w14:textId="04B05469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0A5DCF7" w14:textId="65D4BE94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Young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B0DF0" w14:textId="25E0804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267DC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0.20%</w:t>
            </w:r>
          </w:p>
        </w:tc>
      </w:tr>
      <w:tr w:rsidR="00A1247C" w:rsidRPr="00A1247C" w14:paraId="3651E266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DC50179" w14:textId="38ADC09A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9B7D384" w14:textId="360ED989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976D207" w14:textId="53B6AC22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A5AF2BE" w14:textId="722CB1D8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80192" w14:textId="661AB9E8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12B97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0.19%</w:t>
            </w:r>
          </w:p>
        </w:tc>
      </w:tr>
      <w:tr w:rsidR="00A1247C" w:rsidRPr="00A1247C" w14:paraId="63BBC4DF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F24DB44" w14:textId="035AE563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lastRenderedPageBreak/>
              <w:t>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19775F9" w14:textId="567A3CE8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62D9F6E" w14:textId="51DBC229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C35C114" w14:textId="6D79E102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Old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3F753" w14:textId="7E1F275B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40EE3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0.15%</w:t>
            </w:r>
          </w:p>
        </w:tc>
      </w:tr>
      <w:tr w:rsidR="00A1247C" w:rsidRPr="00A1247C" w14:paraId="491D9BCE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A119866" w14:textId="0F75F893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958259C" w14:textId="1237797D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3D7F980" w14:textId="62A30134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7F20999" w14:textId="29AEB68A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B1F54" w14:textId="053CC8DA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DA0C5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0.15%</w:t>
            </w:r>
          </w:p>
        </w:tc>
      </w:tr>
      <w:tr w:rsidR="00A1247C" w:rsidRPr="00A1247C" w14:paraId="6763A3DB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A43057D" w14:textId="621A127B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Women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E9EF8FD" w14:textId="14479C56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F60C8D1" w14:textId="57DC2909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4D6E7A8" w14:textId="3D4D9427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Old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9E1D5" w14:textId="6B66E11C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98942" w14:textId="77777777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0.13%</w:t>
            </w:r>
          </w:p>
        </w:tc>
      </w:tr>
      <w:tr w:rsidR="00A1247C" w:rsidRPr="00A1247C" w14:paraId="57ECF3CB" w14:textId="77777777" w:rsidTr="00395EB1"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4C2B1DD5" w14:textId="77777777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261EBECB" w14:textId="77777777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3C899AE9" w14:textId="77777777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4B9BC483" w14:textId="77777777" w:rsidR="00A1247C" w:rsidRPr="00A1247C" w:rsidRDefault="00A1247C" w:rsidP="00A124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5F9C2" w14:textId="16051B7C" w:rsidR="00A1247C" w:rsidRPr="00A1247C" w:rsidRDefault="00A1247C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29</w:t>
            </w:r>
            <w:r w:rsidR="00395EB1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.</w:t>
            </w:r>
            <w:r w:rsidRPr="00A1247C"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923</w:t>
            </w:r>
          </w:p>
        </w:tc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B3B40" w14:textId="714C75E4" w:rsidR="00A1247C" w:rsidRPr="00A1247C" w:rsidRDefault="00395EB1" w:rsidP="004A77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eastAsia="Arial" w:hAnsiTheme="majorBidi" w:cstheme="majorBidi"/>
                <w:color w:val="000000"/>
                <w:sz w:val="20"/>
                <w:szCs w:val="20"/>
              </w:rPr>
              <w:t>100.00%</w:t>
            </w:r>
          </w:p>
        </w:tc>
      </w:tr>
      <w:bookmarkEnd w:id="0"/>
    </w:tbl>
    <w:p w14:paraId="3851A204" w14:textId="77777777" w:rsidR="006906F4" w:rsidRDefault="006906F4"/>
    <w:sectPr w:rsidR="006906F4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191691">
    <w:abstractNumId w:val="1"/>
  </w:num>
  <w:num w:numId="2" w16cid:durableId="1119909227">
    <w:abstractNumId w:val="2"/>
  </w:num>
  <w:num w:numId="3" w16cid:durableId="205026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E0B"/>
    <w:rsid w:val="00384F04"/>
    <w:rsid w:val="00395EB1"/>
    <w:rsid w:val="004A7732"/>
    <w:rsid w:val="004E3AE0"/>
    <w:rsid w:val="006906F4"/>
    <w:rsid w:val="00900E0B"/>
    <w:rsid w:val="00A1247C"/>
    <w:rsid w:val="00AB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C486"/>
  <w15:docId w15:val="{2ECAA1A6-951A-4367-B28F-3EE62CF4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Branten, N.S. (Nina)</cp:lastModifiedBy>
  <cp:revision>1</cp:revision>
  <dcterms:created xsi:type="dcterms:W3CDTF">2017-02-28T11:18:00Z</dcterms:created>
  <dcterms:modified xsi:type="dcterms:W3CDTF">2025-06-23T08:59:00Z</dcterms:modified>
  <cp:category/>
</cp:coreProperties>
</file>