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D182" w14:textId="77777777" w:rsidR="00D41392" w:rsidRPr="00342DFD" w:rsidRDefault="004C0940" w:rsidP="00BD7726">
      <w:pPr>
        <w:spacing w:before="240" w:after="120"/>
        <w:jc w:val="center"/>
        <w:rPr>
          <w:b/>
          <w:bCs/>
          <w:color w:val="1F4E79"/>
          <w:sz w:val="48"/>
          <w:szCs w:val="48"/>
        </w:rPr>
      </w:pPr>
      <w:r>
        <w:rPr>
          <w:rFonts w:ascii="Calibri" w:hAnsi="Calibri"/>
          <w:b/>
          <w:bCs/>
          <w:color w:val="1F4E79"/>
          <w:sz w:val="32"/>
          <w:szCs w:val="48"/>
        </w:rPr>
        <w:t>E-Scooter Helmet Use in Israel</w:t>
      </w:r>
    </w:p>
    <w:p w14:paraId="339833AE" w14:textId="0B2285BB" w:rsidR="00D41392" w:rsidRPr="001A6B90" w:rsidRDefault="00801755" w:rsidP="00801755">
      <w:pPr>
        <w:spacing w:before="240" w:after="120"/>
        <w:jc w:val="center"/>
        <w:rPr>
          <w:b/>
          <w:bCs/>
          <w:sz w:val="36"/>
          <w:szCs w:val="36"/>
        </w:rPr>
      </w:pPr>
      <w:r>
        <w:rPr>
          <w:rFonts w:ascii="Calibri" w:hAnsi="Calibri"/>
          <w:b/>
          <w:bCs/>
          <w:sz w:val="24"/>
          <w:szCs w:val="36"/>
        </w:rPr>
        <w:t xml:space="preserve">A Multi-Source Analysis: CBS Crashes (2013–2025), Municipal Surveys (2019–2022), Enforcement Fines (2019–2024), Field Observations (2024–2025) </w:t>
      </w:r>
    </w:p>
    <w:p w14:paraId="710370AD" w14:textId="77777777" w:rsidR="00D41392" w:rsidRPr="00BD7726" w:rsidRDefault="004C0940" w:rsidP="00BD7726">
      <w:pPr>
        <w:spacing w:before="240" w:after="120"/>
        <w:jc w:val="center"/>
        <w:rPr>
          <w:b/>
          <w:bCs/>
          <w:sz w:val="32"/>
          <w:szCs w:val="32"/>
        </w:rPr>
      </w:pPr>
      <w:r>
        <w:rPr>
          <w:rFonts w:ascii="Calibri" w:hAnsi="Calibri"/>
          <w:b/>
          <w:bCs/>
          <w:sz w:val="22"/>
          <w:szCs w:val="32"/>
        </w:rPr>
        <w:t>Nina Garmash, PhD | ANYWAY Project (DATA FOR CHANGE), HIT | March 2026</w:t>
      </w:r>
    </w:p>
    <w:p w14:paraId="2C068E37" w14:textId="2AC87799" w:rsidR="00D41392" w:rsidRDefault="00FF1FBE" w:rsidP="00225DF0">
      <w:pPr>
        <w:spacing w:before="240" w:after="120"/>
        <w:rPr>
          <w:rFonts w:ascii="Calibri" w:hAnsi="Calibri"/>
          <w:b/>
          <w:bCs/>
          <w:i/>
          <w:iCs/>
          <w:sz w:val="22"/>
          <w:szCs w:val="32"/>
        </w:rPr>
      </w:pPr>
      <w:r>
        <w:rPr>
          <w:rFonts w:ascii="Calibri" w:hAnsi="Calibri"/>
          <w:b/>
          <w:bCs/>
          <w:i/>
          <w:iCs/>
          <w:sz w:val="22"/>
          <w:szCs w:val="32"/>
        </w:rPr>
        <w:t>Key Finding: Israel’s January 1, 2019 mandatory helmet law achieved substantial behavioral change: helmet use among e-scooter crash victims increased from 25% (2018 baseline) to 60% (2019–2024). Enforcement dropped 87% in 2021, driven by COVID-19 police redeployment and genuine compliance improvement — and compliance remained high even after enforcement never recovered to pre-2021 levels, showing that the legal norm endured beyond active enforcement. Helmets reduce severe injury risk by more than half (overall RR 2.28×, p&lt;0.001; male RR 2.40×, female RR 1.78×, both confirmed). However, 2024–2025 data quality has collapsed (coverage &lt;15%, down from a peak of 37.5% in 2021), preventing assessment of current trends.</w:t>
      </w:r>
    </w:p>
    <w:p w14:paraId="363E5E21" w14:textId="77777777" w:rsidR="00D64E7A" w:rsidRPr="00225DF0" w:rsidRDefault="00D64E7A" w:rsidP="00225DF0">
      <w:pPr>
        <w:spacing w:before="240" w:after="120"/>
        <w:rPr>
          <w:rFonts w:ascii="Calibri" w:hAnsi="Calibri"/>
          <w:b/>
          <w:bCs/>
          <w:i/>
          <w:iCs/>
          <w:sz w:val="22"/>
          <w:szCs w:val="32"/>
        </w:rPr>
      </w:pPr>
    </w:p>
    <w:p w14:paraId="2AB01C21" w14:textId="261C814F" w:rsidR="00D64E7A" w:rsidRPr="00D64E7A" w:rsidRDefault="004C0940" w:rsidP="00D64E7A">
      <w:pPr>
        <w:pStyle w:val="Heading1"/>
        <w:numPr>
          <w:ilvl w:val="0"/>
          <w:numId w:val="95"/>
        </w:numPr>
        <w:rPr>
          <w:b/>
          <w:bCs/>
          <w:color w:val="1F4E79"/>
        </w:rPr>
      </w:pPr>
      <w:r>
        <w:rPr>
          <w:b/>
          <w:bCs/>
          <w:color w:val="1F4E79"/>
        </w:rPr>
        <w:t>1. Methodological Framework: Why Source Matching Is Critical</w:t>
      </w:r>
    </w:p>
    <w:p w14:paraId="6C386E99" w14:textId="456A7000" w:rsidR="00D41392" w:rsidRPr="005F06DF" w:rsidRDefault="004C0940" w:rsidP="005F06DF">
      <w:pPr>
        <w:rPr>
          <w:b/>
          <w:bCs/>
          <w:sz w:val="22"/>
          <w:szCs w:val="22"/>
        </w:rPr>
      </w:pPr>
      <w:r>
        <w:rPr>
          <w:b/>
          <w:bCs/>
          <w:sz w:val="22"/>
          <w:szCs w:val="22"/>
        </w:rPr>
        <w:t>Each source captures a different population.</w:t>
      </w:r>
    </w:p>
    <w:p w14:paraId="7830E697" w14:textId="77777777" w:rsidR="00222FAC" w:rsidRPr="005F06DF" w:rsidRDefault="00222FAC" w:rsidP="00C820F0">
      <w:pPr>
        <w:rPr>
          <w:rFonts w:ascii="Calibri" w:hAnsi="Calibri"/>
          <w:sz w:val="22"/>
        </w:rPr>
      </w:pPr>
      <w:r>
        <w:rPr>
          <w:rFonts w:ascii="Calibri" w:hAnsi="Calibri"/>
          <w:sz w:val="22"/>
        </w:rPr>
        <w:t>This is the most important methodological principle in this analysis: directly comparing figures from different sources without accounting for who they capture leads to false conclusions.</w:t>
      </w:r>
    </w:p>
    <w:p w14:paraId="0FCB0386" w14:textId="57FED3D8" w:rsidR="00222FAC" w:rsidRPr="005F06DF" w:rsidRDefault="00222FAC" w:rsidP="005F06DF">
      <w:pPr>
        <w:rPr>
          <w:rFonts w:ascii="Calibri" w:hAnsi="Calibri"/>
          <w:sz w:val="22"/>
        </w:rPr>
      </w:pPr>
      <w:r>
        <w:rPr>
          <w:rFonts w:ascii="Calibri" w:hAnsi="Calibri"/>
          <w:sz w:val="22"/>
        </w:rPr>
        <w:t>The rule: Observational data shows general population compliance. CBS all-injury rates show crash victim compliance. The gap between them reveals risk patterns.</w:t>
      </w:r>
    </w:p>
    <w:p w14:paraId="698BFC4B" w14:textId="38420551" w:rsidR="00342DFD" w:rsidRDefault="004C0940" w:rsidP="00342DFD">
      <w:pPr>
        <w:rPr>
          <w:rFonts w:ascii="Calibri" w:hAnsi="Calibri"/>
          <w:sz w:val="22"/>
        </w:rPr>
      </w:pPr>
      <w:r>
        <w:rPr>
          <w:rFonts w:ascii="Calibri" w:hAnsi="Calibri"/>
          <w:sz w:val="22"/>
        </w:rPr>
        <w:t>The table below maps each source to its captured population, sample size, and the correct CBS comparator.</w:t>
      </w:r>
    </w:p>
    <w:p w14:paraId="7D4E10FC" w14:textId="77777777" w:rsidR="00707FDE" w:rsidRDefault="00707FDE" w:rsidP="00342DFD">
      <w:pPr>
        <w:rPr>
          <w:rFonts w:ascii="Calibri" w:hAnsi="Calibri"/>
          <w:sz w:val="22"/>
        </w:rPr>
      </w:pPr>
    </w:p>
    <w:p w14:paraId="517264CC" w14:textId="59D44BE9" w:rsidR="00222FAC" w:rsidRPr="00342DFD" w:rsidRDefault="00222FAC" w:rsidP="00222FAC">
      <w:pPr>
        <w:rPr>
          <w:rFonts w:ascii="Calibri" w:hAnsi="Calibri"/>
          <w:sz w:val="22"/>
        </w:rPr>
      </w:pPr>
      <w:r>
        <w:rPr>
          <w:rFonts w:ascii="Calibri" w:hAnsi="Calibri"/>
          <w:b/>
          <w:bCs/>
          <w:sz w:val="22"/>
        </w:rPr>
        <w:t>Table 1</w:t>
      </w:r>
      <w:r>
        <w:rPr>
          <w:rFonts w:ascii="Calibri" w:hAnsi="Calibri"/>
          <w:sz w:val="22"/>
        </w:rPr>
        <w:t>: Data Source Comparison Matrix (2013-2025)</w:t>
      </w:r>
    </w:p>
    <w:tbl>
      <w:tblPr>
        <w:tblW w:w="4960" w:type="pct"/>
        <w:tblInd w:w="-8" w:type="dxa"/>
        <w:tblLook w:val="0020" w:firstRow="1" w:lastRow="0" w:firstColumn="0" w:lastColumn="0" w:noHBand="0" w:noVBand="0"/>
      </w:tblPr>
      <w:tblGrid>
        <w:gridCol w:w="1530"/>
        <w:gridCol w:w="1171"/>
        <w:gridCol w:w="1529"/>
        <w:gridCol w:w="3059"/>
        <w:gridCol w:w="1980"/>
      </w:tblGrid>
      <w:tr w:rsidR="00342DFD" w14:paraId="55C5B312" w14:textId="77777777" w:rsidTr="00D64E7A">
        <w:trPr>
          <w:tblHeader/>
        </w:trPr>
        <w:tc>
          <w:tcPr>
            <w:tcW w:w="825" w:type="pct"/>
            <w:tcBorders>
              <w:top w:val="single" w:sz="6" w:space="0" w:color="CCCCCC"/>
              <w:left w:val="single" w:sz="6" w:space="0" w:color="CCCCCC"/>
              <w:bottom w:val="single" w:sz="6" w:space="0" w:color="CCCCCC"/>
              <w:right w:val="single" w:sz="6" w:space="0" w:color="CCCCCC"/>
            </w:tcBorders>
            <w:shd w:val="clear" w:color="auto" w:fill="1F4E79"/>
          </w:tcPr>
          <w:p w14:paraId="3E34B841" w14:textId="77777777" w:rsidR="00D41392" w:rsidRDefault="004C0940">
            <w:r>
              <w:rPr>
                <w:rFonts w:ascii="Calibri" w:hAnsi="Calibri"/>
                <w:color w:val="FFFFFF"/>
              </w:rPr>
              <w:t>Source</w:t>
            </w:r>
          </w:p>
        </w:tc>
        <w:tc>
          <w:tcPr>
            <w:tcW w:w="631" w:type="pct"/>
            <w:tcBorders>
              <w:top w:val="single" w:sz="6" w:space="0" w:color="CCCCCC"/>
              <w:left w:val="single" w:sz="6" w:space="0" w:color="CCCCCC"/>
              <w:bottom w:val="single" w:sz="6" w:space="0" w:color="CCCCCC"/>
              <w:right w:val="single" w:sz="6" w:space="0" w:color="CCCCCC"/>
            </w:tcBorders>
            <w:shd w:val="clear" w:color="auto" w:fill="1F4E79"/>
          </w:tcPr>
          <w:p w14:paraId="078D7886" w14:textId="77777777" w:rsidR="00D41392" w:rsidRDefault="004C0940">
            <w:r>
              <w:rPr>
                <w:rFonts w:ascii="Calibri" w:hAnsi="Calibri"/>
                <w:color w:val="FFFFFF"/>
              </w:rPr>
              <w:t>Period</w:t>
            </w:r>
          </w:p>
        </w:tc>
        <w:tc>
          <w:tcPr>
            <w:tcW w:w="825" w:type="pct"/>
            <w:tcBorders>
              <w:top w:val="single" w:sz="6" w:space="0" w:color="CCCCCC"/>
              <w:left w:val="single" w:sz="6" w:space="0" w:color="CCCCCC"/>
              <w:bottom w:val="single" w:sz="6" w:space="0" w:color="CCCCCC"/>
              <w:right w:val="single" w:sz="6" w:space="0" w:color="CCCCCC"/>
            </w:tcBorders>
            <w:shd w:val="clear" w:color="auto" w:fill="1F4E79"/>
          </w:tcPr>
          <w:p w14:paraId="595562A0" w14:textId="77777777" w:rsidR="00D41392" w:rsidRDefault="004C0940">
            <w:r>
              <w:rPr>
                <w:rFonts w:ascii="Calibri" w:hAnsi="Calibri"/>
                <w:color w:val="FFFFFF"/>
              </w:rPr>
              <w:t>Rate / N</w:t>
            </w:r>
          </w:p>
        </w:tc>
        <w:tc>
          <w:tcPr>
            <w:tcW w:w="1650" w:type="pct"/>
            <w:tcBorders>
              <w:top w:val="single" w:sz="6" w:space="0" w:color="CCCCCC"/>
              <w:left w:val="single" w:sz="6" w:space="0" w:color="CCCCCC"/>
              <w:bottom w:val="single" w:sz="6" w:space="0" w:color="CCCCCC"/>
              <w:right w:val="single" w:sz="6" w:space="0" w:color="CCCCCC"/>
            </w:tcBorders>
            <w:shd w:val="clear" w:color="auto" w:fill="1F4E79"/>
          </w:tcPr>
          <w:p w14:paraId="3BB58BF0" w14:textId="77777777" w:rsidR="00D41392" w:rsidRDefault="004C0940">
            <w:r>
              <w:rPr>
                <w:rFonts w:ascii="Calibri" w:hAnsi="Calibri"/>
                <w:color w:val="FFFFFF"/>
              </w:rPr>
              <w:t>Captured Population</w:t>
            </w:r>
          </w:p>
        </w:tc>
        <w:tc>
          <w:tcPr>
            <w:tcW w:w="1068" w:type="pct"/>
            <w:tcBorders>
              <w:top w:val="single" w:sz="6" w:space="0" w:color="CCCCCC"/>
              <w:left w:val="single" w:sz="6" w:space="0" w:color="CCCCCC"/>
              <w:bottom w:val="single" w:sz="6" w:space="0" w:color="CCCCCC"/>
              <w:right w:val="single" w:sz="6" w:space="0" w:color="CCCCCC"/>
            </w:tcBorders>
            <w:shd w:val="clear" w:color="auto" w:fill="1F4E79"/>
          </w:tcPr>
          <w:p w14:paraId="3EC63AAC" w14:textId="77777777" w:rsidR="00D41392" w:rsidRDefault="004C0940">
            <w:r>
              <w:rPr>
                <w:rFonts w:ascii="Calibri" w:hAnsi="Calibri"/>
                <w:color w:val="FFFFFF"/>
              </w:rPr>
              <w:t>CBS Comparator</w:t>
            </w:r>
          </w:p>
        </w:tc>
      </w:tr>
      <w:tr w:rsidR="00342DFD" w14:paraId="44F643C4"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1C73AA89" w14:textId="77777777" w:rsidR="00D41392" w:rsidRDefault="004C0940">
            <w:r>
              <w:rPr>
                <w:rFonts w:ascii="Calibri" w:hAnsi="Calibri"/>
              </w:rPr>
              <w:t>CBS Crashes</w:t>
            </w:r>
            <w:r>
              <w:rPr>
                <w:rFonts w:ascii="Calibri" w:hAnsi="Calibri"/>
              </w:rPr>
              <w:br/>
              <w:t>(All Injury)</w:t>
            </w:r>
          </w:p>
        </w:tc>
        <w:tc>
          <w:tcPr>
            <w:tcW w:w="631" w:type="pct"/>
            <w:tcBorders>
              <w:top w:val="single" w:sz="6" w:space="0" w:color="CCCCCC"/>
              <w:left w:val="single" w:sz="6" w:space="0" w:color="CCCCCC"/>
              <w:bottom w:val="single" w:sz="6" w:space="0" w:color="CCCCCC"/>
              <w:right w:val="single" w:sz="6" w:space="0" w:color="CCCCCC"/>
            </w:tcBorders>
            <w:shd w:val="clear" w:color="auto" w:fill="FFFFFF"/>
          </w:tcPr>
          <w:p w14:paraId="1C61F9F3" w14:textId="77777777" w:rsidR="00D41392" w:rsidRDefault="004C0940">
            <w:r>
              <w:rPr>
                <w:rFonts w:ascii="Calibri" w:hAnsi="Calibri"/>
              </w:rPr>
              <w:t>2018–2025</w:t>
            </w:r>
          </w:p>
        </w:tc>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75BEB13F" w14:textId="77777777" w:rsidR="00D41392" w:rsidRDefault="004C0940">
            <w:r>
              <w:rPr>
                <w:rFonts w:ascii="Calibri" w:hAnsi="Calibri"/>
              </w:rPr>
              <w:t>2,659 users</w:t>
            </w:r>
            <w:r>
              <w:rPr>
                <w:rFonts w:ascii="Calibri" w:hAnsi="Calibri"/>
              </w:rPr>
              <w:br/>
              <w:t>25% coverage</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Pr>
          <w:p w14:paraId="2FA2B327" w14:textId="77777777" w:rsidR="00D41392" w:rsidRDefault="004C0940">
            <w:r>
              <w:rPr>
                <w:rFonts w:ascii="Calibri" w:hAnsi="Calibri"/>
              </w:rPr>
              <w:t>E-scooter users in crashes (all severities)</w:t>
            </w:r>
          </w:p>
        </w:tc>
        <w:tc>
          <w:tcPr>
            <w:tcW w:w="1068" w:type="pct"/>
            <w:tcBorders>
              <w:top w:val="single" w:sz="6" w:space="0" w:color="CCCCCC"/>
              <w:left w:val="single" w:sz="6" w:space="0" w:color="CCCCCC"/>
              <w:bottom w:val="single" w:sz="6" w:space="0" w:color="CCCCCC"/>
              <w:right w:val="single" w:sz="6" w:space="0" w:color="CCCCCC"/>
            </w:tcBorders>
            <w:shd w:val="clear" w:color="auto" w:fill="FFFFFF"/>
          </w:tcPr>
          <w:p w14:paraId="0FBF9CFD" w14:textId="77777777" w:rsidR="00D41392" w:rsidRDefault="004C0940">
            <w:r>
              <w:rPr>
                <w:rFonts w:ascii="Calibri" w:hAnsi="Calibri"/>
              </w:rPr>
              <w:t>Primary dataset</w:t>
            </w:r>
          </w:p>
        </w:tc>
      </w:tr>
      <w:tr w:rsidR="00342DFD" w14:paraId="78DB5753"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36929656" w14:textId="0465C2B0" w:rsidR="00D41392" w:rsidRDefault="004C0940">
            <w:r>
              <w:rPr>
                <w:rFonts w:ascii="Calibri" w:hAnsi="Calibri"/>
              </w:rPr>
              <w:t>CBS Crashes</w:t>
            </w:r>
            <w:r>
              <w:rPr>
                <w:rFonts w:ascii="Calibri" w:hAnsi="Calibri"/>
              </w:rPr>
              <w:br/>
              <w:t>(</w:t>
            </w:r>
            <w:proofErr w:type="spellStart"/>
            <w:r>
              <w:rPr>
                <w:rFonts w:ascii="Calibri" w:hAnsi="Calibri"/>
              </w:rPr>
              <w:t>Severe+Fatal</w:t>
            </w:r>
            <w:proofErr w:type="spellEnd"/>
            <w:r>
              <w:rPr>
                <w:rFonts w:ascii="Calibri" w:hAnsi="Calibri"/>
              </w:rPr>
              <w:t xml:space="preserve"> subset)</w:t>
            </w:r>
          </w:p>
        </w:tc>
        <w:tc>
          <w:tcPr>
            <w:tcW w:w="631" w:type="pct"/>
            <w:tcBorders>
              <w:top w:val="single" w:sz="6" w:space="0" w:color="CCCCCC"/>
              <w:left w:val="single" w:sz="6" w:space="0" w:color="CCCCCC"/>
              <w:bottom w:val="single" w:sz="6" w:space="0" w:color="CCCCCC"/>
              <w:right w:val="single" w:sz="6" w:space="0" w:color="CCCCCC"/>
            </w:tcBorders>
            <w:shd w:val="clear" w:color="auto" w:fill="FFFFFF"/>
          </w:tcPr>
          <w:p w14:paraId="309E3CCE" w14:textId="77777777" w:rsidR="00D41392" w:rsidRDefault="004C0940">
            <w:r>
              <w:rPr>
                <w:rFonts w:ascii="Calibri" w:hAnsi="Calibri"/>
              </w:rPr>
              <w:t>2018–2025</w:t>
            </w:r>
          </w:p>
        </w:tc>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418F8354" w14:textId="77777777" w:rsidR="00D41392" w:rsidRDefault="004C0940">
            <w:r>
              <w:rPr>
                <w:rFonts w:ascii="Calibri" w:hAnsi="Calibri"/>
              </w:rPr>
              <w:t>220 total severe/fatal (175 known, 79.5% coverage)</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Pr>
          <w:p w14:paraId="39ADF4D9" w14:textId="77777777" w:rsidR="00D41392" w:rsidRDefault="004C0940">
            <w:r>
              <w:rPr>
                <w:rFonts w:ascii="Calibri" w:hAnsi="Calibri"/>
              </w:rPr>
              <w:t>E-scooter users with severe/fatal injuries only</w:t>
            </w:r>
          </w:p>
        </w:tc>
        <w:tc>
          <w:tcPr>
            <w:tcW w:w="1068" w:type="pct"/>
            <w:tcBorders>
              <w:top w:val="single" w:sz="6" w:space="0" w:color="CCCCCC"/>
              <w:left w:val="single" w:sz="6" w:space="0" w:color="CCCCCC"/>
              <w:bottom w:val="single" w:sz="6" w:space="0" w:color="CCCCCC"/>
              <w:right w:val="single" w:sz="6" w:space="0" w:color="CCCCCC"/>
            </w:tcBorders>
            <w:shd w:val="clear" w:color="auto" w:fill="FFFFFF"/>
          </w:tcPr>
          <w:p w14:paraId="6196FFAC" w14:textId="77777777" w:rsidR="00D41392" w:rsidRDefault="004C0940">
            <w:r>
              <w:rPr>
                <w:rFonts w:ascii="Calibri" w:hAnsi="Calibri"/>
              </w:rPr>
              <w:t>Hospital ED studies</w:t>
            </w:r>
          </w:p>
        </w:tc>
      </w:tr>
      <w:tr w:rsidR="00342DFD" w14:paraId="6C80D1C6"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73F2ED96" w14:textId="77777777" w:rsidR="00D41392" w:rsidRDefault="004C0940">
            <w:r>
              <w:rPr>
                <w:rFonts w:ascii="Calibri" w:hAnsi="Calibri"/>
              </w:rPr>
              <w:t>Tel Aviv</w:t>
            </w:r>
            <w:r>
              <w:rPr>
                <w:rFonts w:ascii="Calibri" w:hAnsi="Calibri"/>
              </w:rPr>
              <w:br/>
              <w:t>Surveys</w:t>
            </w:r>
          </w:p>
        </w:tc>
        <w:tc>
          <w:tcPr>
            <w:tcW w:w="631" w:type="pct"/>
            <w:tcBorders>
              <w:top w:val="single" w:sz="6" w:space="0" w:color="CCCCCC"/>
              <w:left w:val="single" w:sz="6" w:space="0" w:color="CCCCCC"/>
              <w:bottom w:val="single" w:sz="6" w:space="0" w:color="CCCCCC"/>
              <w:right w:val="single" w:sz="6" w:space="0" w:color="CCCCCC"/>
            </w:tcBorders>
            <w:shd w:val="clear" w:color="auto" w:fill="FFFFFF"/>
          </w:tcPr>
          <w:p w14:paraId="49918FCC" w14:textId="77777777" w:rsidR="00D41392" w:rsidRDefault="004C0940">
            <w:r>
              <w:rPr>
                <w:rFonts w:ascii="Calibri" w:hAnsi="Calibri"/>
              </w:rPr>
              <w:t>2019–2022</w:t>
            </w:r>
          </w:p>
        </w:tc>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70466C22" w14:textId="77777777" w:rsidR="00D41392" w:rsidRDefault="004C0940">
            <w:r>
              <w:rPr>
                <w:rFonts w:ascii="Calibri" w:hAnsi="Calibri"/>
              </w:rPr>
              <w:t>~6,000 total</w:t>
            </w:r>
            <w:r>
              <w:rPr>
                <w:rFonts w:ascii="Calibri" w:hAnsi="Calibri"/>
              </w:rPr>
              <w:br/>
              <w:t>N varies by year</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Pr>
          <w:p w14:paraId="58AF4B30" w14:textId="77777777" w:rsidR="00D41392" w:rsidRDefault="004C0940">
            <w:r>
              <w:rPr>
                <w:rFonts w:ascii="Calibri" w:hAnsi="Calibri"/>
              </w:rPr>
              <w:t>Shared e-scooter subscribers only (not private owners)</w:t>
            </w:r>
          </w:p>
        </w:tc>
        <w:tc>
          <w:tcPr>
            <w:tcW w:w="1068" w:type="pct"/>
            <w:tcBorders>
              <w:top w:val="single" w:sz="6" w:space="0" w:color="CCCCCC"/>
              <w:left w:val="single" w:sz="6" w:space="0" w:color="CCCCCC"/>
              <w:bottom w:val="single" w:sz="6" w:space="0" w:color="CCCCCC"/>
              <w:right w:val="single" w:sz="6" w:space="0" w:color="CCCCCC"/>
            </w:tcBorders>
            <w:shd w:val="clear" w:color="auto" w:fill="FFFFFF"/>
          </w:tcPr>
          <w:p w14:paraId="57E44D92" w14:textId="77777777" w:rsidR="00D41392" w:rsidRDefault="004C0940">
            <w:r>
              <w:rPr>
                <w:rFonts w:ascii="Calibri" w:hAnsi="Calibri"/>
              </w:rPr>
              <w:t>CBS All-Injury rates</w:t>
            </w:r>
            <w:r>
              <w:rPr>
                <w:rFonts w:ascii="Calibri" w:hAnsi="Calibri"/>
              </w:rPr>
              <w:br/>
              <w:t>(loose comparison)</w:t>
            </w:r>
          </w:p>
        </w:tc>
      </w:tr>
      <w:tr w:rsidR="00342DFD" w14:paraId="726B9E15"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24FC7CD0" w14:textId="77777777" w:rsidR="00D41392" w:rsidRDefault="004C0940">
            <w:r>
              <w:rPr>
                <w:rFonts w:ascii="Calibri" w:hAnsi="Calibri"/>
              </w:rPr>
              <w:t>Police</w:t>
            </w:r>
            <w:r>
              <w:rPr>
                <w:rFonts w:ascii="Calibri" w:hAnsi="Calibri"/>
              </w:rPr>
              <w:br/>
              <w:t>Enforcement</w:t>
            </w:r>
          </w:p>
        </w:tc>
        <w:tc>
          <w:tcPr>
            <w:tcW w:w="631" w:type="pct"/>
            <w:tcBorders>
              <w:top w:val="single" w:sz="6" w:space="0" w:color="CCCCCC"/>
              <w:left w:val="single" w:sz="6" w:space="0" w:color="CCCCCC"/>
              <w:bottom w:val="single" w:sz="6" w:space="0" w:color="CCCCCC"/>
              <w:right w:val="single" w:sz="6" w:space="0" w:color="CCCCCC"/>
            </w:tcBorders>
            <w:shd w:val="clear" w:color="auto" w:fill="FFFFFF"/>
          </w:tcPr>
          <w:p w14:paraId="054CEFFD" w14:textId="77777777" w:rsidR="00D41392" w:rsidRDefault="004C0940">
            <w:r>
              <w:rPr>
                <w:rFonts w:ascii="Calibri" w:hAnsi="Calibri"/>
              </w:rPr>
              <w:t>2019–2024</w:t>
            </w:r>
          </w:p>
        </w:tc>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739F67C4" w14:textId="77777777" w:rsidR="00D41392" w:rsidRDefault="004C0940">
            <w:r>
              <w:rPr>
                <w:rFonts w:ascii="Calibri" w:hAnsi="Calibri"/>
              </w:rPr>
              <w:t>7,561 fines</w:t>
            </w:r>
            <w:r>
              <w:rPr>
                <w:rFonts w:ascii="Calibri" w:hAnsi="Calibri"/>
              </w:rPr>
              <w:br/>
              <w:t>total</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Pr>
          <w:p w14:paraId="455CC682" w14:textId="77777777" w:rsidR="00D41392" w:rsidRDefault="004C0940">
            <w:r>
              <w:rPr>
                <w:rFonts w:ascii="Calibri" w:hAnsi="Calibri"/>
              </w:rPr>
              <w:t>Non-compliant riders detected by police</w:t>
            </w:r>
          </w:p>
        </w:tc>
        <w:tc>
          <w:tcPr>
            <w:tcW w:w="1068" w:type="pct"/>
            <w:tcBorders>
              <w:top w:val="single" w:sz="6" w:space="0" w:color="CCCCCC"/>
              <w:left w:val="single" w:sz="6" w:space="0" w:color="CCCCCC"/>
              <w:bottom w:val="single" w:sz="6" w:space="0" w:color="CCCCCC"/>
              <w:right w:val="single" w:sz="6" w:space="0" w:color="CCCCCC"/>
            </w:tcBorders>
            <w:shd w:val="clear" w:color="auto" w:fill="FFFFFF"/>
          </w:tcPr>
          <w:p w14:paraId="13385042" w14:textId="77777777" w:rsidR="00D41392" w:rsidRDefault="004C0940">
            <w:r>
              <w:rPr>
                <w:rFonts w:ascii="Calibri" w:hAnsi="Calibri"/>
              </w:rPr>
              <w:t>Trend indicator only</w:t>
            </w:r>
          </w:p>
        </w:tc>
      </w:tr>
      <w:tr w:rsidR="00433C9D" w14:paraId="5A6A9042"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1927BA9A" w14:textId="3820E336" w:rsidR="00433C9D" w:rsidRDefault="00433C9D" w:rsidP="00433C9D">
            <w:pPr>
              <w:rPr>
                <w:rFonts w:ascii="Calibri" w:hAnsi="Calibri"/>
              </w:rPr>
            </w:pPr>
            <w:r>
              <w:rPr>
                <w:rFonts w:ascii="Calibri" w:hAnsi="Calibri"/>
              </w:rPr>
              <w:t>Observational</w:t>
            </w:r>
            <w:r>
              <w:rPr>
                <w:rFonts w:ascii="Calibri" w:hAnsi="Calibri"/>
              </w:rPr>
              <w:br/>
              <w:t>Studies</w:t>
            </w:r>
          </w:p>
        </w:tc>
        <w:tc>
          <w:tcPr>
            <w:tcW w:w="631" w:type="pct"/>
            <w:tcBorders>
              <w:top w:val="single" w:sz="6" w:space="0" w:color="CCCCCC"/>
              <w:left w:val="single" w:sz="6" w:space="0" w:color="CCCCCC"/>
              <w:bottom w:val="single" w:sz="6" w:space="0" w:color="CCCCCC"/>
              <w:right w:val="single" w:sz="6" w:space="0" w:color="CCCCCC"/>
            </w:tcBorders>
            <w:shd w:val="clear" w:color="auto" w:fill="FFFFFF"/>
          </w:tcPr>
          <w:p w14:paraId="242E70A7" w14:textId="60B95785" w:rsidR="00433C9D" w:rsidRDefault="00433C9D" w:rsidP="00433C9D">
            <w:pPr>
              <w:rPr>
                <w:rFonts w:ascii="Calibri" w:hAnsi="Calibri"/>
              </w:rPr>
            </w:pPr>
            <w:r>
              <w:rPr>
                <w:rFonts w:ascii="Calibri" w:hAnsi="Calibri"/>
              </w:rPr>
              <w:t>2024–2025</w:t>
            </w:r>
          </w:p>
        </w:tc>
        <w:tc>
          <w:tcPr>
            <w:tcW w:w="825" w:type="pct"/>
            <w:tcBorders>
              <w:top w:val="single" w:sz="6" w:space="0" w:color="CCCCCC"/>
              <w:left w:val="single" w:sz="6" w:space="0" w:color="CCCCCC"/>
              <w:bottom w:val="single" w:sz="6" w:space="0" w:color="CCCCCC"/>
              <w:right w:val="single" w:sz="6" w:space="0" w:color="CCCCCC"/>
            </w:tcBorders>
            <w:shd w:val="clear" w:color="auto" w:fill="FFFFFF"/>
          </w:tcPr>
          <w:p w14:paraId="24A46DD1" w14:textId="415F7F67" w:rsidR="00433C9D" w:rsidRDefault="00433C9D" w:rsidP="00433C9D">
            <w:pPr>
              <w:rPr>
                <w:rFonts w:ascii="Calibri" w:hAnsi="Calibri"/>
              </w:rPr>
            </w:pPr>
            <w:r>
              <w:rPr>
                <w:rFonts w:ascii="Calibri" w:hAnsi="Calibri"/>
              </w:rPr>
              <w:t>1,777 riders</w:t>
            </w:r>
            <w:r>
              <w:rPr>
                <w:rFonts w:ascii="Calibri" w:hAnsi="Calibri"/>
              </w:rPr>
              <w:br/>
              <w:t>100% observed</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Pr>
          <w:p w14:paraId="5315B8C7" w14:textId="07A77673" w:rsidR="00433C9D" w:rsidRDefault="00433C9D" w:rsidP="00433C9D">
            <w:pPr>
              <w:rPr>
                <w:rFonts w:ascii="Calibri" w:hAnsi="Calibri"/>
              </w:rPr>
            </w:pPr>
            <w:r>
              <w:rPr>
                <w:rFonts w:ascii="Calibri" w:hAnsi="Calibri"/>
              </w:rPr>
              <w:t>General population at traffic hot spots</w:t>
            </w:r>
          </w:p>
        </w:tc>
        <w:tc>
          <w:tcPr>
            <w:tcW w:w="1068" w:type="pct"/>
            <w:tcBorders>
              <w:top w:val="single" w:sz="6" w:space="0" w:color="CCCCCC"/>
              <w:left w:val="single" w:sz="6" w:space="0" w:color="CCCCCC"/>
              <w:bottom w:val="single" w:sz="6" w:space="0" w:color="CCCCCC"/>
              <w:right w:val="single" w:sz="6" w:space="0" w:color="CCCCCC"/>
            </w:tcBorders>
            <w:shd w:val="clear" w:color="auto" w:fill="FFFFFF"/>
          </w:tcPr>
          <w:p w14:paraId="035E7992" w14:textId="3E77E00F" w:rsidR="00433C9D" w:rsidRDefault="00433C9D" w:rsidP="00433C9D">
            <w:pPr>
              <w:rPr>
                <w:rFonts w:ascii="Calibri" w:hAnsi="Calibri"/>
              </w:rPr>
            </w:pPr>
            <w:r>
              <w:rPr>
                <w:rFonts w:ascii="Calibri" w:hAnsi="Calibri"/>
              </w:rPr>
              <w:t>CBS All-Injury rates</w:t>
            </w:r>
            <w:r>
              <w:rPr>
                <w:rFonts w:ascii="Calibri" w:hAnsi="Calibri"/>
              </w:rPr>
              <w:br/>
              <w:t>(loose comparison)</w:t>
            </w:r>
          </w:p>
        </w:tc>
      </w:tr>
      <w:tr w:rsidR="00433C9D" w14:paraId="361C1AF9" w14:textId="77777777" w:rsidTr="00D64E7A">
        <w:tc>
          <w:tcPr>
            <w:tcW w:w="825"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59DCF0AD" w14:textId="7B58A646" w:rsidR="00433C9D" w:rsidRDefault="00433C9D" w:rsidP="00433C9D">
            <w:pPr>
              <w:rPr>
                <w:rFonts w:ascii="Calibri" w:hAnsi="Calibri"/>
              </w:rPr>
            </w:pPr>
            <w:proofErr w:type="spellStart"/>
            <w:r>
              <w:rPr>
                <w:b/>
                <w:bCs/>
              </w:rPr>
              <w:t>Sourasky</w:t>
            </w:r>
            <w:proofErr w:type="spellEnd"/>
            <w:r>
              <w:rPr>
                <w:b/>
                <w:bCs/>
              </w:rPr>
              <w:t xml:space="preserve"> MC (maxillofacial injuries)</w:t>
            </w:r>
          </w:p>
        </w:tc>
        <w:tc>
          <w:tcPr>
            <w:tcW w:w="631"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0C09F3FE" w14:textId="12EFCF4E" w:rsidR="00433C9D" w:rsidRDefault="00433C9D" w:rsidP="00433C9D">
            <w:pPr>
              <w:rPr>
                <w:rFonts w:ascii="Calibri" w:hAnsi="Calibri"/>
              </w:rPr>
            </w:pPr>
            <w:r>
              <w:rPr>
                <w:b/>
                <w:bCs/>
              </w:rPr>
              <w:t>2019–2020</w:t>
            </w:r>
          </w:p>
        </w:tc>
        <w:tc>
          <w:tcPr>
            <w:tcW w:w="825"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74E21443" w14:textId="14F0B130" w:rsidR="00433C9D" w:rsidRDefault="00433C9D" w:rsidP="00433C9D">
            <w:pPr>
              <w:rPr>
                <w:rFonts w:ascii="Calibri" w:hAnsi="Calibri"/>
              </w:rPr>
            </w:pPr>
            <w:r>
              <w:rPr>
                <w:b/>
                <w:bCs/>
              </w:rPr>
              <w:t>27.5% N=238 patients</w:t>
            </w:r>
          </w:p>
        </w:tc>
        <w:tc>
          <w:tcPr>
            <w:tcW w:w="1650"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20304900" w14:textId="70CA4DB5" w:rsidR="00433C9D" w:rsidRDefault="00433C9D" w:rsidP="00433C9D">
            <w:pPr>
              <w:rPr>
                <w:rFonts w:ascii="Calibri" w:hAnsi="Calibri"/>
              </w:rPr>
            </w:pPr>
            <w:r>
              <w:rPr>
                <w:b/>
                <w:bCs/>
              </w:rPr>
              <w:t>ED patients with face/jaw injuries</w:t>
            </w:r>
          </w:p>
        </w:tc>
        <w:tc>
          <w:tcPr>
            <w:tcW w:w="1068"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776D45CF" w14:textId="1C141FB4" w:rsidR="00433C9D" w:rsidRDefault="00433C9D" w:rsidP="00433C9D">
            <w:pPr>
              <w:rPr>
                <w:rFonts w:ascii="Calibri" w:hAnsi="Calibri"/>
              </w:rPr>
            </w:pPr>
            <w:r>
              <w:rPr>
                <w:rFonts w:ascii="Segoe UI Symbol" w:hAnsi="Segoe UI Symbol" w:cs="Segoe UI Symbol"/>
                <w:b/>
                <w:bCs/>
              </w:rPr>
              <w:t>✓</w:t>
            </w:r>
            <w:r>
              <w:rPr>
                <w:b/>
                <w:bCs/>
              </w:rPr>
              <w:t xml:space="preserve"> CBS Severe/Fatal 2019–2020</w:t>
            </w:r>
          </w:p>
        </w:tc>
      </w:tr>
    </w:tbl>
    <w:p w14:paraId="7D379568" w14:textId="77777777" w:rsidR="005E22EB" w:rsidRDefault="005E22EB">
      <w:pPr>
        <w:rPr>
          <w:rFonts w:ascii="Segoe UI Symbol" w:hAnsi="Segoe UI Symbol" w:cs="Segoe UI Symbol"/>
        </w:rPr>
      </w:pPr>
    </w:p>
    <w:p w14:paraId="259C8EFB" w14:textId="0950D63D" w:rsidR="00D41392" w:rsidRPr="001A6B90" w:rsidRDefault="004C0940">
      <w:r>
        <w:rPr>
          <w:rFonts w:ascii="Segoe UI Symbol" w:hAnsi="Segoe UI Symbol" w:cs="Segoe UI Symbol"/>
        </w:rPr>
        <w:t>⚠</w:t>
      </w:r>
      <w:r>
        <w:t xml:space="preserve"> Survey N: 2019–2020 sample sizes not published. 2021: N=2,000. 2022: N=1,875.</w:t>
      </w:r>
    </w:p>
    <w:p w14:paraId="5640A341" w14:textId="618BB13E" w:rsidR="00222FAC" w:rsidRDefault="00222FAC" w:rsidP="00222FAC">
      <w:r>
        <w:rPr>
          <w:rFonts w:ascii="Segoe UI Symbol" w:hAnsi="Segoe UI Symbol" w:cs="Segoe UI Symbol"/>
        </w:rPr>
        <w:lastRenderedPageBreak/>
        <w:t>⚠</w:t>
      </w:r>
      <w:r>
        <w:t xml:space="preserve"> </w:t>
      </w:r>
      <w:proofErr w:type="spellStart"/>
      <w:r>
        <w:t>Sourasky</w:t>
      </w:r>
      <w:proofErr w:type="spellEnd"/>
      <w:r>
        <w:t xml:space="preserve"> Hospital data (Bodner et al., 2021) is included for comparison purposes only. It provides external validation of CBS severe injury patterns but is NOT part of the primary 4-source convergence analysis due to different injury scope and limited timeframe .</w:t>
      </w:r>
    </w:p>
    <w:p w14:paraId="14D4F12C" w14:textId="59976D58" w:rsidR="00D41392" w:rsidRPr="005E22EB" w:rsidRDefault="004C0940" w:rsidP="005E22EB">
      <w:pPr>
        <w:pStyle w:val="Heading1"/>
        <w:spacing w:before="480" w:after="240"/>
        <w:rPr>
          <w:b/>
          <w:bCs/>
          <w:color w:val="1F4E79"/>
        </w:rPr>
      </w:pPr>
      <w:r>
        <w:rPr>
          <w:b/>
          <w:bCs/>
          <w:color w:val="1F4E79"/>
        </w:rPr>
        <w:t>2. CBS Crash Data Analysis — E-Scooter Users, 2013–2025</w:t>
      </w:r>
    </w:p>
    <w:p w14:paraId="4834E749" w14:textId="77777777" w:rsidR="00D41392" w:rsidRDefault="004C0940">
      <w:pPr>
        <w:rPr>
          <w:rFonts w:ascii="Calibri" w:hAnsi="Calibri"/>
          <w:sz w:val="22"/>
        </w:rPr>
      </w:pPr>
      <w:r>
        <w:rPr>
          <w:rFonts w:ascii="Calibri" w:hAnsi="Calibri"/>
          <w:sz w:val="22"/>
        </w:rPr>
        <w:t>Central Bureau of Statistics data includes 2,684 e-scooter crash records from 2013–2025 (2797 ES riders involved), but only 2018–2025 records will be compared with other sources (8 years, N=2,659 ES riders in 2552 crashes).</w:t>
      </w:r>
    </w:p>
    <w:p w14:paraId="21BF5D0A" w14:textId="77777777" w:rsidR="00D64E7A" w:rsidRDefault="00D64E7A">
      <w:pPr>
        <w:rPr>
          <w:rFonts w:ascii="Calibri" w:hAnsi="Calibri"/>
          <w:sz w:val="22"/>
        </w:rPr>
      </w:pPr>
    </w:p>
    <w:p w14:paraId="3099C2F6" w14:textId="6C79C120" w:rsidR="00D41392" w:rsidRPr="00C820F0" w:rsidRDefault="004C0940" w:rsidP="00C820F0">
      <w:pPr>
        <w:pStyle w:val="Heading2"/>
      </w:pPr>
      <w:bookmarkStart w:id="0" w:name="X297fb21d8aebc23d606b3b0e5d5bb9cacce17bc"/>
      <w:r>
        <w:t>2.1 The Recording Gap: Coverage and Severity Bias</w:t>
      </w:r>
    </w:p>
    <w:p w14:paraId="15D914A9" w14:textId="77777777" w:rsidR="00D41392" w:rsidRDefault="004C0940">
      <w:r>
        <w:rPr>
          <w:rFonts w:ascii="Calibri" w:hAnsi="Calibri"/>
          <w:sz w:val="22"/>
        </w:rPr>
        <w:t>CBS records helmet use from two independent helmet data sources:</w:t>
      </w:r>
    </w:p>
    <w:p w14:paraId="43FA6133" w14:textId="2E998A3E" w:rsidR="00D41392" w:rsidRDefault="004C0940">
      <w:pPr>
        <w:numPr>
          <w:ilvl w:val="0"/>
          <w:numId w:val="15"/>
        </w:numPr>
      </w:pPr>
      <w:r>
        <w:rPr>
          <w:rFonts w:ascii="Calibri" w:hAnsi="Calibri"/>
          <w:sz w:val="22"/>
        </w:rPr>
        <w:t xml:space="preserve">Trauma File (” </w:t>
      </w:r>
      <w:proofErr w:type="spellStart"/>
      <w:r>
        <w:rPr>
          <w:rFonts w:ascii="Calibri" w:hAnsi="Calibri"/>
          <w:sz w:val="22"/>
        </w:rPr>
        <w:t>safety_measures_use</w:t>
      </w:r>
      <w:proofErr w:type="spellEnd"/>
      <w:r>
        <w:rPr>
          <w:rFonts w:ascii="Calibri" w:hAnsi="Calibri"/>
          <w:sz w:val="22"/>
        </w:rPr>
        <w:t>”): Medical records from trauma centers — highest reliability, 6% of valid data</w:t>
      </w:r>
    </w:p>
    <w:p w14:paraId="776FB824" w14:textId="77777777" w:rsidR="00D41392" w:rsidRDefault="004C0940">
      <w:pPr>
        <w:numPr>
          <w:ilvl w:val="0"/>
          <w:numId w:val="15"/>
        </w:numPr>
      </w:pPr>
      <w:r>
        <w:rPr>
          <w:rFonts w:ascii="Calibri" w:hAnsi="Calibri"/>
          <w:sz w:val="22"/>
        </w:rPr>
        <w:t>Safety Measures (“</w:t>
      </w:r>
      <w:proofErr w:type="spellStart"/>
      <w:r>
        <w:rPr>
          <w:rFonts w:ascii="Calibri" w:hAnsi="Calibri"/>
          <w:sz w:val="22"/>
        </w:rPr>
        <w:t>safety_measures</w:t>
      </w:r>
      <w:proofErr w:type="spellEnd"/>
      <w:r>
        <w:rPr>
          <w:rFonts w:ascii="Calibri" w:hAnsi="Calibri"/>
          <w:sz w:val="22"/>
        </w:rPr>
        <w:t>”): Police officer observations at crash scene — moderate reliability, 20% of valid data.</w:t>
      </w:r>
    </w:p>
    <w:p w14:paraId="13F83C62" w14:textId="77777777" w:rsidR="00D41392" w:rsidRDefault="004C0940">
      <w:r>
        <w:rPr>
          <w:rFonts w:ascii="Calibri" w:hAnsi="Calibri"/>
          <w:sz w:val="22"/>
        </w:rPr>
        <w:t>By creating a combined “</w:t>
      </w:r>
      <w:proofErr w:type="spellStart"/>
      <w:r>
        <w:rPr>
          <w:rFonts w:ascii="Calibri" w:hAnsi="Calibri"/>
          <w:sz w:val="22"/>
        </w:rPr>
        <w:t>Helmet_Combined_Status</w:t>
      </w:r>
      <w:proofErr w:type="spellEnd"/>
      <w:r>
        <w:rPr>
          <w:rFonts w:ascii="Calibri" w:hAnsi="Calibri"/>
          <w:sz w:val="22"/>
        </w:rPr>
        <w:t xml:space="preserve">” column, </w:t>
      </w:r>
      <w:r>
        <w:rPr>
          <w:rFonts w:ascii="Calibri" w:hAnsi="Calibri"/>
          <w:b/>
          <w:bCs/>
          <w:sz w:val="22"/>
        </w:rPr>
        <w:t>helmet coverage improved to 25%</w:t>
      </w:r>
    </w:p>
    <w:p w14:paraId="35314675" w14:textId="77777777" w:rsidR="00D41392" w:rsidRDefault="004C0940">
      <w:pPr>
        <w:rPr>
          <w:rFonts w:ascii="Calibri" w:hAnsi="Calibri"/>
          <w:sz w:val="22"/>
        </w:rPr>
      </w:pPr>
      <w:r>
        <w:rPr>
          <w:rFonts w:ascii="Calibri" w:hAnsi="Calibri"/>
          <w:sz w:val="22"/>
        </w:rPr>
        <w:t>The Unknown group represents 75.0% of all records (1,995 of 2,659), yet has the lowest severity rate (2.3%). This creates selection bias: Known status cases (N=664, 25.0%) over-represent severe crashes where police documented helmet status.</w:t>
      </w:r>
    </w:p>
    <w:p w14:paraId="09C6913F" w14:textId="77777777" w:rsidR="00342DFD" w:rsidRDefault="00342DFD"/>
    <w:p w14:paraId="3E68BB97" w14:textId="77777777" w:rsidR="00D41392" w:rsidRDefault="004C0940" w:rsidP="00342DFD">
      <w:pPr>
        <w:jc w:val="center"/>
      </w:pPr>
      <w:r>
        <w:rPr>
          <w:rFonts w:ascii="Calibri" w:hAnsi="Calibri"/>
          <w:b/>
          <w:bCs/>
          <w:sz w:val="22"/>
        </w:rPr>
        <w:t>Share of ES users (bars) and severity rates (line) by helmet status</w:t>
      </w:r>
    </w:p>
    <w:p w14:paraId="52F15577" w14:textId="77777777" w:rsidR="00D41392" w:rsidRDefault="004C0940" w:rsidP="00342DFD">
      <w:pPr>
        <w:jc w:val="center"/>
      </w:pPr>
      <w:r>
        <w:rPr>
          <w:rFonts w:ascii="Calibri" w:hAnsi="Calibri"/>
          <w:noProof/>
          <w:sz w:val="22"/>
        </w:rPr>
        <w:drawing>
          <wp:inline distT="0" distB="0" distL="0" distR="0" wp14:anchorId="31F056FD" wp14:editId="68E5A99C">
            <wp:extent cx="4316610" cy="3196424"/>
            <wp:effectExtent l="0" t="0" r="8255" b="4445"/>
            <wp:docPr id="24" name="Picture"/>
            <wp:cNvGraphicFramePr/>
            <a:graphic xmlns:a="http://schemas.openxmlformats.org/drawingml/2006/main">
              <a:graphicData uri="http://schemas.openxmlformats.org/drawingml/2006/picture">
                <pic:pic xmlns:pic="http://schemas.openxmlformats.org/drawingml/2006/picture">
                  <pic:nvPicPr>
                    <pic:cNvPr id="25" name="Picture" descr="media/image1.png"/>
                    <pic:cNvPicPr>
                      <a:picLocks noChangeAspect="1" noChangeArrowheads="1"/>
                    </pic:cNvPicPr>
                  </pic:nvPicPr>
                  <pic:blipFill>
                    <a:blip r:embed="rId7"/>
                    <a:stretch>
                      <a:fillRect/>
                    </a:stretch>
                  </pic:blipFill>
                  <pic:spPr bwMode="auto">
                    <a:xfrm>
                      <a:off x="0" y="0"/>
                      <a:ext cx="4415464" cy="3269625"/>
                    </a:xfrm>
                    <a:prstGeom prst="rect">
                      <a:avLst/>
                    </a:prstGeom>
                    <a:noFill/>
                    <a:ln w="9525">
                      <a:noFill/>
                      <a:headEnd/>
                      <a:tailEnd/>
                    </a:ln>
                  </pic:spPr>
                </pic:pic>
              </a:graphicData>
            </a:graphic>
          </wp:inline>
        </w:drawing>
      </w:r>
    </w:p>
    <w:p w14:paraId="0F688642" w14:textId="66B48DAE" w:rsidR="00D41392" w:rsidRDefault="004C0940" w:rsidP="00707FDE">
      <w:pPr>
        <w:jc w:val="center"/>
        <w:rPr>
          <w:rFonts w:ascii="Calibri" w:hAnsi="Calibri"/>
          <w:i/>
          <w:iCs/>
          <w:sz w:val="22"/>
        </w:rPr>
      </w:pPr>
      <w:r>
        <w:rPr>
          <w:rFonts w:ascii="Calibri" w:hAnsi="Calibri"/>
          <w:i/>
          <w:iCs/>
          <w:sz w:val="22"/>
        </w:rPr>
        <w:t>Figure 2.1: Helmet status distribution and severity rate, 2018–2025 (N=2,659)</w:t>
      </w:r>
    </w:p>
    <w:p w14:paraId="5DB201B6" w14:textId="77777777" w:rsidR="00707FDE" w:rsidRDefault="00707FDE" w:rsidP="00707FDE">
      <w:pPr>
        <w:jc w:val="center"/>
      </w:pPr>
    </w:p>
    <w:p w14:paraId="0B3E3F0D" w14:textId="7420E4C2" w:rsidR="00342DFD" w:rsidRDefault="004C0940" w:rsidP="00342DFD">
      <w:pPr>
        <w:rPr>
          <w:rFonts w:ascii="Calibri" w:hAnsi="Calibri"/>
          <w:sz w:val="22"/>
        </w:rPr>
      </w:pPr>
      <w:r>
        <w:rPr>
          <w:rFonts w:ascii="Calibri" w:hAnsi="Calibri"/>
          <w:sz w:val="22"/>
        </w:rPr>
        <w:t> </w:t>
      </w:r>
      <w:r>
        <w:rPr>
          <w:rFonts w:ascii="Calibri" w:hAnsi="Calibri"/>
          <w:b/>
          <w:bCs/>
          <w:sz w:val="22"/>
        </w:rPr>
        <w:t>Statistical test</w:t>
      </w:r>
      <w:r>
        <w:rPr>
          <w:rFonts w:ascii="Calibri" w:hAnsi="Calibri"/>
          <w:sz w:val="22"/>
        </w:rPr>
        <w:t>: Among all known-helmet-status riders (n=664), non-helmeted riders had a severe/fatal rate of 39.5% vs 17.3% for helmeted riders. Two-proportion z-test: z=6.38, p&lt;0.001. Riders without a helmet faced 2.28× higher risk. Gender-stratified analysis (n=638, all ES users with both known gender and known helmet status) is in Section 2.4.</w:t>
      </w:r>
    </w:p>
    <w:p w14:paraId="2873EE09" w14:textId="77777777" w:rsidR="00342DFD" w:rsidRPr="00342DFD" w:rsidRDefault="00342DFD" w:rsidP="00342DFD">
      <w:pPr>
        <w:rPr>
          <w:rFonts w:ascii="Calibri" w:hAnsi="Calibri"/>
          <w:sz w:val="22"/>
        </w:rPr>
      </w:pPr>
    </w:p>
    <w:p w14:paraId="0AB0C555" w14:textId="77777777" w:rsidR="00D41392" w:rsidRDefault="004C0940" w:rsidP="00C820F0">
      <w:pPr>
        <w:pStyle w:val="Heading2"/>
      </w:pPr>
      <w:bookmarkStart w:id="1" w:name="X5ce07a24815eab1390bb5ef16f23d392b4bdb3f"/>
      <w:bookmarkEnd w:id="0"/>
      <w:r>
        <w:t>2.2 Involved Class: Why Passengers Are Included</w:t>
      </w:r>
    </w:p>
    <w:p w14:paraId="2DC553C2" w14:textId="5FC5F29F" w:rsidR="00342DFD" w:rsidRPr="000514FA" w:rsidRDefault="004C0940" w:rsidP="000514FA">
      <w:pPr>
        <w:rPr>
          <w:rFonts w:ascii="Calibri" w:hAnsi="Calibri"/>
          <w:sz w:val="22"/>
        </w:rPr>
      </w:pPr>
      <w:r>
        <w:rPr>
          <w:rFonts w:ascii="Calibri" w:hAnsi="Calibri"/>
          <w:sz w:val="22"/>
        </w:rPr>
        <w:t xml:space="preserve">E-scooter Passengers (in tandem riding) represent only 2.6% of all ES users in crashes (N=74), yet their severe/fatal injury rate is </w:t>
      </w:r>
      <w:proofErr w:type="gramStart"/>
      <w:r>
        <w:rPr>
          <w:rFonts w:ascii="Calibri" w:hAnsi="Calibri"/>
          <w:sz w:val="22"/>
        </w:rPr>
        <w:t>24.3% —</w:t>
      </w:r>
      <w:proofErr w:type="gramEnd"/>
      <w:r>
        <w:rPr>
          <w:rFonts w:ascii="Calibri" w:hAnsi="Calibri"/>
          <w:sz w:val="22"/>
        </w:rPr>
        <w:t xml:space="preserve"> 3× higher than drivers (7.8%).</w:t>
      </w:r>
    </w:p>
    <w:p w14:paraId="421073B6" w14:textId="52B7957C" w:rsidR="002F3967" w:rsidRPr="002F3967" w:rsidRDefault="002F3967" w:rsidP="002F3967">
      <w:pPr>
        <w:rPr>
          <w:rFonts w:ascii="Calibri" w:hAnsi="Calibri"/>
          <w:b/>
          <w:bCs/>
          <w:sz w:val="22"/>
        </w:rPr>
      </w:pPr>
    </w:p>
    <w:p w14:paraId="1D9AF60F" w14:textId="0A111519" w:rsidR="00D41392" w:rsidRPr="00707FDE" w:rsidRDefault="00D41392" w:rsidP="002F3967">
      <w:pPr>
        <w:rPr>
          <w:rFonts w:ascii="Calibri" w:hAnsi="Calibri"/>
          <w:b/>
          <w:bCs/>
          <w:sz w:val="22"/>
        </w:rPr>
      </w:pPr>
    </w:p>
    <w:p w14:paraId="27B8CEA7" w14:textId="6B342800" w:rsidR="000514FA" w:rsidRPr="000514FA" w:rsidRDefault="000514FA" w:rsidP="000514FA">
      <w:pPr>
        <w:jc w:val="center"/>
        <w:rPr>
          <w:rFonts w:ascii="Calibri" w:hAnsi="Calibri"/>
          <w:noProof/>
          <w:sz w:val="22"/>
        </w:rPr>
      </w:pPr>
      <w:r w:rsidRPr="000514FA">
        <w:rPr>
          <w:rFonts w:ascii="Calibri" w:hAnsi="Calibri"/>
          <w:noProof/>
          <w:sz w:val="22"/>
        </w:rPr>
        <w:drawing>
          <wp:inline distT="0" distB="0" distL="0" distR="0" wp14:anchorId="0DB9B09A" wp14:editId="1DA28C8D">
            <wp:extent cx="5943600" cy="2195195"/>
            <wp:effectExtent l="0" t="0" r="0" b="0"/>
            <wp:docPr id="116151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95195"/>
                    </a:xfrm>
                    <a:prstGeom prst="rect">
                      <a:avLst/>
                    </a:prstGeom>
                    <a:noFill/>
                    <a:ln>
                      <a:noFill/>
                    </a:ln>
                  </pic:spPr>
                </pic:pic>
              </a:graphicData>
            </a:graphic>
          </wp:inline>
        </w:drawing>
      </w:r>
    </w:p>
    <w:p w14:paraId="5CDE50EC" w14:textId="0F23AA32" w:rsidR="00D41392" w:rsidRDefault="004C0940" w:rsidP="00342DFD">
      <w:pPr>
        <w:jc w:val="center"/>
      </w:pPr>
      <w:r>
        <w:rPr>
          <w:rFonts w:ascii="Calibri" w:hAnsi="Calibri"/>
          <w:noProof/>
          <w:sz w:val="22"/>
        </w:rPr>
        <w:t xml:space="preserve">    </w:t>
      </w:r>
    </w:p>
    <w:p w14:paraId="5AE6CADA" w14:textId="0334E202" w:rsidR="002F3967" w:rsidRDefault="004C0940" w:rsidP="002F3967">
      <w:pPr>
        <w:rPr>
          <w:rFonts w:ascii="Calibri" w:hAnsi="Calibri"/>
          <w:i/>
          <w:iCs/>
          <w:sz w:val="22"/>
        </w:rPr>
      </w:pPr>
      <w:r>
        <w:rPr>
          <w:rFonts w:ascii="Calibri" w:hAnsi="Calibri"/>
          <w:i/>
          <w:iCs/>
          <w:sz w:val="22"/>
        </w:rPr>
        <w:t>Figure 2.2a: E-scooter drivers vs passengers | Figure 2.2b: Passenger helmet status and severity rate</w:t>
      </w:r>
    </w:p>
    <w:p w14:paraId="57D365C5" w14:textId="0A4A2E81" w:rsidR="00D41392" w:rsidRDefault="004C0940" w:rsidP="002F3967">
      <w:r>
        <w:rPr>
          <w:rFonts w:ascii="Calibri" w:hAnsi="Calibri"/>
          <w:i/>
          <w:iCs/>
          <w:sz w:val="22"/>
        </w:rPr>
        <w:t xml:space="preserve"> </w:t>
      </w:r>
    </w:p>
    <w:p w14:paraId="654D40DF" w14:textId="77777777" w:rsidR="00342DFD" w:rsidRDefault="00342DFD"/>
    <w:p w14:paraId="3228882C" w14:textId="3DA85E50" w:rsidR="00342DFD" w:rsidRPr="002F3967" w:rsidRDefault="005E22EB" w:rsidP="005E22EB">
      <w:r>
        <w:rPr>
          <w:rFonts w:ascii="Calibri" w:hAnsi="Calibri"/>
          <w:sz w:val="22"/>
        </w:rPr>
        <w:t>The Unknown status group is 3× smaller for passengers (25% vs 75%), indicating better helmet documentation in passenger records.</w:t>
      </w:r>
    </w:p>
    <w:p w14:paraId="725E52E9" w14:textId="2D3A5701" w:rsidR="00D41392" w:rsidRDefault="004C0940" w:rsidP="00342DFD">
      <w:r>
        <w:rPr>
          <w:rFonts w:ascii="Calibri" w:hAnsi="Calibri"/>
          <w:sz w:val="22"/>
        </w:rPr>
        <w:t>Even helmeted passengers show substantially higher severity than non-helmeted drivers, confirming that the passenger risk elevation is independent of helmet use and reflects the inherent vulnerability of tandem riding.</w:t>
      </w:r>
    </w:p>
    <w:p w14:paraId="1EC1F77F" w14:textId="77777777" w:rsidR="00B21641" w:rsidRPr="00B21641" w:rsidRDefault="00B21641" w:rsidP="00B21641">
      <w:pPr>
        <w:rPr>
          <w:rFonts w:ascii="Calibri" w:hAnsi="Calibri"/>
          <w:b/>
          <w:bCs/>
          <w:sz w:val="22"/>
        </w:rPr>
      </w:pPr>
      <w:r>
        <w:rPr>
          <w:rFonts w:ascii="Calibri" w:hAnsi="Calibri"/>
          <w:b/>
          <w:bCs/>
          <w:sz w:val="22"/>
        </w:rPr>
        <w:t>Statistical Test (Passenger Helmet Effect):</w:t>
      </w:r>
    </w:p>
    <w:p w14:paraId="1A9E8160" w14:textId="64FEF0DB" w:rsidR="005E22EB" w:rsidRDefault="00B21641" w:rsidP="005E22EB">
      <w:pPr>
        <w:rPr>
          <w:rFonts w:ascii="Calibri" w:hAnsi="Calibri"/>
          <w:sz w:val="22"/>
        </w:rPr>
      </w:pPr>
      <w:r>
        <w:rPr>
          <w:rFonts w:ascii="Calibri" w:hAnsi="Calibri"/>
          <w:sz w:val="22"/>
        </w:rPr>
        <w:t>Two-proportion z-test on the helmet protective effect for passengers (n=55 known) show a trend toward protection (35% vs 18% severity for non-helmeted vs helmeted) but small sample size prevents definitive conclusions (z=1.24, p=0.21).</w:t>
      </w:r>
    </w:p>
    <w:p w14:paraId="28B7C7D5" w14:textId="236ADCAC" w:rsidR="005E22EB" w:rsidRPr="00B21641" w:rsidRDefault="005E22EB" w:rsidP="005E22EB">
      <w:pPr>
        <w:rPr>
          <w:rFonts w:ascii="Calibri" w:hAnsi="Calibri"/>
          <w:sz w:val="22"/>
        </w:rPr>
      </w:pPr>
      <w:r>
        <w:rPr>
          <w:rFonts w:ascii="Calibri" w:hAnsi="Calibri"/>
          <w:sz w:val="22"/>
        </w:rPr>
        <w:t>Including passengers is methodologically necessary: a passenger without a helmet faces identical crash forces to the driver,  excluding passengers would underestimate true e-scooter safety burden.</w:t>
      </w:r>
    </w:p>
    <w:p w14:paraId="279FB6A6" w14:textId="1F21F0CD" w:rsidR="00D41392" w:rsidRDefault="00B21641" w:rsidP="00D3362A">
      <w:pPr>
        <w:rPr>
          <w:rFonts w:ascii="Calibri" w:hAnsi="Calibri"/>
          <w:sz w:val="22"/>
        </w:rPr>
      </w:pPr>
      <w:r>
        <w:rPr>
          <w:rFonts w:ascii="Calibri" w:hAnsi="Calibri"/>
          <w:b/>
          <w:bCs/>
          <w:sz w:val="22"/>
        </w:rPr>
        <w:t>Conclusion:</w:t>
      </w:r>
      <w:r>
        <w:rPr>
          <w:rFonts w:ascii="Calibri" w:hAnsi="Calibri"/>
          <w:sz w:val="22"/>
        </w:rPr>
        <w:t xml:space="preserve"> While the observed pattern (35% vs 18% severity) suggests helmets may protect passengers as they do drivers, the small sample prevents definitive conclusions. Passengers remain under-studied in e-scooter safety research.</w:t>
      </w:r>
    </w:p>
    <w:p w14:paraId="183ABC7A" w14:textId="77777777" w:rsidR="00342DFD" w:rsidRDefault="00342DFD"/>
    <w:bookmarkEnd w:id="1"/>
    <w:p w14:paraId="352EB77A" w14:textId="682C8E53" w:rsidR="00D41392" w:rsidRPr="00342DFD" w:rsidRDefault="004C0940" w:rsidP="005E22EB">
      <w:pPr>
        <w:pStyle w:val="Heading2"/>
      </w:pPr>
      <w:r>
        <w:t xml:space="preserve">2.3 All Injury Severities — Annual Summary </w:t>
      </w:r>
    </w:p>
    <w:p w14:paraId="59DE3A98" w14:textId="77777777" w:rsidR="00D41392" w:rsidRDefault="004C0940">
      <w:pPr>
        <w:rPr>
          <w:rFonts w:ascii="Calibri" w:hAnsi="Calibri"/>
          <w:sz w:val="22"/>
        </w:rPr>
      </w:pPr>
      <w:r>
        <w:rPr>
          <w:rFonts w:ascii="Calibri" w:hAnsi="Calibri"/>
          <w:sz w:val="22"/>
        </w:rPr>
        <w:t>Yearly helmet usage among all e-scooter crash victims.</w:t>
      </w:r>
    </w:p>
    <w:p w14:paraId="017261BE" w14:textId="4D122186" w:rsidR="00222FAC" w:rsidRDefault="00222FAC" w:rsidP="00222FAC">
      <w:r>
        <w:rPr>
          <w:b/>
          <w:bCs/>
        </w:rPr>
        <w:t>Table 2</w:t>
      </w:r>
      <w:r>
        <w:t>: Annual E-Scooter Crash Summary (2018-2025, N=2,659)</w:t>
      </w:r>
    </w:p>
    <w:tbl>
      <w:tblPr>
        <w:tblW w:w="4902" w:type="pct"/>
        <w:tblLook w:val="0020" w:firstRow="1" w:lastRow="0" w:firstColumn="0" w:lastColumn="0" w:noHBand="0" w:noVBand="0"/>
      </w:tblPr>
      <w:tblGrid>
        <w:gridCol w:w="698"/>
        <w:gridCol w:w="1017"/>
        <w:gridCol w:w="875"/>
        <w:gridCol w:w="1123"/>
        <w:gridCol w:w="1099"/>
        <w:gridCol w:w="914"/>
        <w:gridCol w:w="914"/>
        <w:gridCol w:w="914"/>
        <w:gridCol w:w="1607"/>
      </w:tblGrid>
      <w:tr w:rsidR="00D41392" w14:paraId="2083AD3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3D7AC3EB" w14:textId="77777777" w:rsidR="00D41392" w:rsidRDefault="004C094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29BADB06" w14:textId="77777777" w:rsidR="00D41392" w:rsidRDefault="004C0940">
            <w:r>
              <w:rPr>
                <w:rFonts w:ascii="Calibri" w:hAnsi="Calibri"/>
                <w:color w:val="FFFFFF"/>
              </w:rPr>
              <w:t>Total</w:t>
            </w:r>
            <w:r>
              <w:rPr>
                <w:rFonts w:ascii="Calibri" w:hAnsi="Calibri"/>
                <w:color w:val="FFFFFF"/>
              </w:rPr>
              <w:br/>
              <w:t>ES Users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071480E" w14:textId="77777777" w:rsidR="00D41392" w:rsidRDefault="004C0940">
            <w:r>
              <w:rPr>
                <w:rFonts w:ascii="Calibri" w:hAnsi="Calibri"/>
                <w:color w:val="FFFFFF"/>
              </w:rPr>
              <w:t>Known</w:t>
            </w:r>
            <w:r>
              <w:rPr>
                <w:rFonts w:ascii="Calibri" w:hAnsi="Calibri"/>
                <w:color w:val="FFFFFF"/>
              </w:rPr>
              <w:br/>
              <w:t>Status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4E5F085" w14:textId="77777777" w:rsidR="00D41392" w:rsidRDefault="004C0940">
            <w:r>
              <w:rPr>
                <w:rFonts w:ascii="Calibri" w:hAnsi="Calibri"/>
                <w:color w:val="FFFFFF"/>
              </w:rPr>
              <w:t>Unknown</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448D0F8" w14:textId="77777777" w:rsidR="00D41392" w:rsidRDefault="004C0940">
            <w:r>
              <w:rPr>
                <w:rFonts w:ascii="Calibri" w:hAnsi="Calibri"/>
                <w:color w:val="FFFFFF"/>
              </w:rPr>
              <w:t>Coverage</w:t>
            </w:r>
            <w:r>
              <w:rPr>
                <w:rFonts w:ascii="Calibri" w:hAnsi="Calibri"/>
                <w:color w:val="FFFFFF"/>
              </w:rPr>
              <w:br/>
              <w: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8859759" w14:textId="77777777" w:rsidR="00D41392" w:rsidRDefault="004C0940">
            <w:r>
              <w:rPr>
                <w:rFonts w:ascii="Calibri" w:hAnsi="Calibri"/>
                <w:color w:val="FFFFFF"/>
              </w:rPr>
              <w:t>Helmet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80BD3A7" w14:textId="77777777" w:rsidR="00D41392" w:rsidRDefault="004C0940">
            <w:r>
              <w:rPr>
                <w:rFonts w:ascii="Calibri" w:hAnsi="Calibri"/>
                <w:color w:val="FFFFFF"/>
              </w:rPr>
              <w:t>No</w:t>
            </w:r>
            <w:r>
              <w:rPr>
                <w:rFonts w:ascii="Calibri" w:hAnsi="Calibri"/>
                <w:color w:val="FFFFFF"/>
              </w:rPr>
              <w:br/>
              <w:t>Helmet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8C3687D" w14:textId="77777777" w:rsidR="00D41392" w:rsidRDefault="004C0940">
            <w:r>
              <w:rPr>
                <w:rFonts w:ascii="Calibri" w:hAnsi="Calibri"/>
                <w:color w:val="FFFFFF"/>
              </w:rPr>
              <w:t>Helmet</w:t>
            </w:r>
            <w:r>
              <w:rPr>
                <w:rFonts w:ascii="Calibri" w:hAnsi="Calibri"/>
                <w:color w:val="FFFFFF"/>
              </w:rPr>
              <w:br/>
              <w:t>Rate %</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B8C4D71" w14:textId="77777777" w:rsidR="00D41392" w:rsidRDefault="004C0940">
            <w:r>
              <w:rPr>
                <w:rFonts w:ascii="Calibri" w:hAnsi="Calibri"/>
                <w:color w:val="FFFFFF"/>
              </w:rPr>
              <w:t>Law Period</w:t>
            </w:r>
          </w:p>
        </w:tc>
      </w:tr>
      <w:tr w:rsidR="00D41392" w14:paraId="66CCF494" w14:textId="77777777" w:rsidTr="007E6C48">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7698BD31" w14:textId="77777777" w:rsidR="00D41392" w:rsidRDefault="004C0940">
            <w:r>
              <w:rPr>
                <w:rFonts w:ascii="Calibri" w:hAnsi="Calibri"/>
              </w:rPr>
              <w:t>2018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5C9EF311" w14:textId="77777777" w:rsidR="00D41392" w:rsidRDefault="004C0940">
            <w:r>
              <w:rPr>
                <w:rFonts w:ascii="Calibri" w:hAnsi="Calibri"/>
              </w:rPr>
              <w:t>117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58DFAD2A" w14:textId="77777777" w:rsidR="00D41392" w:rsidRDefault="004C0940">
            <w:r>
              <w:rPr>
                <w:rFonts w:ascii="Calibri" w:hAnsi="Calibri"/>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80303DE" w14:textId="77777777" w:rsidR="00D41392" w:rsidRDefault="004C0940">
            <w:r>
              <w:rPr>
                <w:rFonts w:ascii="Calibri" w:hAnsi="Calibri"/>
              </w:rPr>
              <w:t>93</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46B82CCC" w14:textId="77777777" w:rsidR="00D41392" w:rsidRDefault="004C0940">
            <w:r>
              <w:rPr>
                <w:rFonts w:ascii="Calibri" w:hAnsi="Calibri"/>
              </w:rPr>
              <w:t>20.5%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229B5D16" w14:textId="77777777" w:rsidR="00D41392" w:rsidRDefault="004C0940">
            <w:r>
              <w:rPr>
                <w:rFonts w:ascii="Calibri" w:hAnsi="Calibri"/>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3D4ED9B4" w14:textId="77777777" w:rsidR="00D41392" w:rsidRDefault="004C0940">
            <w:r>
              <w:rPr>
                <w:rFonts w:ascii="Calibri" w:hAnsi="Calibri"/>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5029786" w14:textId="77777777" w:rsidR="00D41392" w:rsidRDefault="004C0940">
            <w:r>
              <w:rPr>
                <w:rFonts w:ascii="Calibri" w:hAnsi="Calibri"/>
              </w:rPr>
              <w:t>25.0%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F7BADF3" w14:textId="77777777" w:rsidR="00D41392" w:rsidRDefault="004C0940">
            <w:r>
              <w:rPr>
                <w:rFonts w:ascii="Calibri" w:hAnsi="Calibri"/>
              </w:rPr>
              <w:t>Pre-law</w:t>
            </w:r>
          </w:p>
        </w:tc>
      </w:tr>
      <w:tr w:rsidR="00D41392" w14:paraId="1DB49DD2" w14:textId="77777777">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FCFBF89" w14:textId="77777777" w:rsidR="00D41392" w:rsidRDefault="004C0940">
            <w:r>
              <w:rPr>
                <w:rFonts w:ascii="Calibri" w:hAnsi="Calibri"/>
              </w:rPr>
              <w:t>2019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3FF3C895" w14:textId="77777777" w:rsidR="00D41392" w:rsidRDefault="004C0940">
            <w:r>
              <w:rPr>
                <w:rFonts w:ascii="Calibri" w:hAnsi="Calibri"/>
              </w:rPr>
              <w:t>254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0662BF7E" w14:textId="77777777" w:rsidR="00D41392" w:rsidRDefault="004C0940">
            <w:r>
              <w:rPr>
                <w:rFonts w:ascii="Calibri" w:hAnsi="Calibri"/>
              </w:rPr>
              <w:t>51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5590391" w14:textId="77777777" w:rsidR="00D41392" w:rsidRDefault="004C0940">
            <w:r>
              <w:rPr>
                <w:rFonts w:ascii="Calibri" w:hAnsi="Calibri"/>
              </w:rPr>
              <w:t>203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2EA8D66" w14:textId="77777777" w:rsidR="00D41392" w:rsidRDefault="004C0940">
            <w:r>
              <w:rPr>
                <w:rFonts w:ascii="Calibri" w:hAnsi="Calibri"/>
              </w:rPr>
              <w:t>20.1%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4B3F2C9D" w14:textId="77777777" w:rsidR="00D41392" w:rsidRDefault="004C0940">
            <w:r>
              <w:rPr>
                <w:rFonts w:ascii="Calibri" w:hAnsi="Calibri"/>
              </w:rPr>
              <w:t>23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19F6378" w14:textId="77777777" w:rsidR="00D41392" w:rsidRDefault="004C0940">
            <w:r>
              <w:rPr>
                <w:rFonts w:ascii="Calibri" w:hAnsi="Calibri"/>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6AB7C3AA" w14:textId="77777777" w:rsidR="00D41392" w:rsidRDefault="004C0940">
            <w:r>
              <w:rPr>
                <w:rFonts w:ascii="Calibri" w:hAnsi="Calibri"/>
              </w:rPr>
              <w:t>45.1%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6DA3F21" w14:textId="77777777" w:rsidR="00D41392" w:rsidRDefault="004C0940">
            <w:r>
              <w:rPr>
                <w:rFonts w:ascii="Calibri" w:hAnsi="Calibri"/>
              </w:rPr>
              <w:t>Law1 (250₪)</w:t>
            </w:r>
          </w:p>
        </w:tc>
      </w:tr>
      <w:tr w:rsidR="00D41392" w14:paraId="26C21B9C"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5174A0C" w14:textId="77777777" w:rsidR="00D41392" w:rsidRDefault="004C0940">
            <w:r>
              <w:rPr>
                <w:rFonts w:ascii="Calibri" w:hAnsi="Calibri"/>
                <w:color w:val="1F4E79"/>
              </w:rPr>
              <w:t>2020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9807025" w14:textId="77777777" w:rsidR="00D41392" w:rsidRDefault="004C0940">
            <w:r>
              <w:rPr>
                <w:rFonts w:ascii="Calibri" w:hAnsi="Calibri"/>
                <w:color w:val="1F4E79"/>
              </w:rPr>
              <w:t>334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F5B27B7" w14:textId="77777777" w:rsidR="00D41392" w:rsidRDefault="004C0940">
            <w:r>
              <w:rPr>
                <w:rFonts w:ascii="Calibri" w:hAnsi="Calibri"/>
                <w:color w:val="1F4E79"/>
              </w:rPr>
              <w:t>108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70F5D03" w14:textId="77777777" w:rsidR="00D41392" w:rsidRDefault="004C0940">
            <w:r>
              <w:rPr>
                <w:rFonts w:ascii="Calibri" w:hAnsi="Calibri"/>
                <w:color w:val="1F4E79"/>
              </w:rPr>
              <w:t>226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3702B83" w14:textId="77777777" w:rsidR="00D41392" w:rsidRDefault="004C0940">
            <w:r>
              <w:rPr>
                <w:rFonts w:ascii="Calibri" w:hAnsi="Calibri"/>
                <w:color w:val="1F4E79"/>
              </w:rPr>
              <w:t>32.3%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141F7E4" w14:textId="77777777" w:rsidR="00D41392" w:rsidRDefault="004C0940">
            <w:r>
              <w:rPr>
                <w:rFonts w:ascii="Calibri" w:hAnsi="Calibri"/>
                <w:color w:val="1F4E79"/>
              </w:rPr>
              <w:t>65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CF9B40" w14:textId="77777777" w:rsidR="00D41392" w:rsidRDefault="004C0940">
            <w:r>
              <w:rPr>
                <w:rFonts w:ascii="Calibri" w:hAnsi="Calibri"/>
                <w:color w:val="1F4E79"/>
              </w:rPr>
              <w:t>43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983D3A5" w14:textId="77777777" w:rsidR="00D41392" w:rsidRDefault="004C0940">
            <w:r>
              <w:rPr>
                <w:rFonts w:ascii="Calibri" w:hAnsi="Calibri"/>
                <w:color w:val="1F4E79"/>
              </w:rPr>
              <w:t>60.2%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15B4DBE" w14:textId="77777777" w:rsidR="00D41392" w:rsidRDefault="004C0940">
            <w:r>
              <w:rPr>
                <w:rFonts w:ascii="Calibri" w:hAnsi="Calibri"/>
                <w:color w:val="1F4E79"/>
              </w:rPr>
              <w:t>Law1 (250₪)</w:t>
            </w:r>
          </w:p>
        </w:tc>
      </w:tr>
      <w:tr w:rsidR="00D41392" w14:paraId="53F7DEA3"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AA023E" w14:textId="77777777" w:rsidR="00D41392" w:rsidRDefault="004C0940">
            <w:r>
              <w:rPr>
                <w:rFonts w:ascii="Calibri" w:hAnsi="Calibri"/>
                <w:color w:val="1F4E79"/>
              </w:rPr>
              <w:t>2021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824F04F" w14:textId="77777777" w:rsidR="00D41392" w:rsidRDefault="004C0940">
            <w:r>
              <w:rPr>
                <w:rFonts w:ascii="Calibri" w:hAnsi="Calibri"/>
                <w:color w:val="1F4E79"/>
              </w:rPr>
              <w:t>395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C23D898" w14:textId="77777777" w:rsidR="00D41392" w:rsidRDefault="004C0940">
            <w:r>
              <w:rPr>
                <w:rFonts w:ascii="Calibri" w:hAnsi="Calibri"/>
                <w:color w:val="1F4E79"/>
              </w:rPr>
              <w:t>148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6392D84" w14:textId="77777777" w:rsidR="00D41392" w:rsidRDefault="004C0940">
            <w:r>
              <w:rPr>
                <w:rFonts w:ascii="Calibri" w:hAnsi="Calibri"/>
                <w:color w:val="1F4E79"/>
              </w:rPr>
              <w:t>247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93E2D0" w14:textId="77777777" w:rsidR="00D41392" w:rsidRDefault="004C0940">
            <w:r>
              <w:rPr>
                <w:rFonts w:ascii="Calibri" w:hAnsi="Calibri"/>
                <w:color w:val="1F4E79"/>
              </w:rPr>
              <w:t>37.5%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67138CD" w14:textId="77777777" w:rsidR="00D41392" w:rsidRDefault="004C0940">
            <w:r>
              <w:rPr>
                <w:rFonts w:ascii="Calibri" w:hAnsi="Calibri"/>
                <w:color w:val="1F4E79"/>
              </w:rPr>
              <w:t>94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09CF83F" w14:textId="77777777" w:rsidR="00D41392" w:rsidRDefault="004C0940">
            <w:r>
              <w:rPr>
                <w:rFonts w:ascii="Calibri" w:hAnsi="Calibri"/>
                <w:color w:val="1F4E79"/>
              </w:rPr>
              <w:t>54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0EC78C1" w14:textId="77777777" w:rsidR="00D41392" w:rsidRDefault="004C0940">
            <w:r>
              <w:rPr>
                <w:rFonts w:ascii="Calibri" w:hAnsi="Calibri"/>
                <w:color w:val="1F4E79"/>
              </w:rPr>
              <w:t>63.5%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AE1654C" w14:textId="77777777" w:rsidR="00D41392" w:rsidRDefault="004C0940">
            <w:r>
              <w:rPr>
                <w:rFonts w:ascii="Calibri" w:hAnsi="Calibri"/>
                <w:color w:val="1F4E79"/>
              </w:rPr>
              <w:t>Law1 (250₪)</w:t>
            </w:r>
          </w:p>
        </w:tc>
      </w:tr>
      <w:tr w:rsidR="00D41392" w14:paraId="1EA0E4B6"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724FEBC" w14:textId="77777777" w:rsidR="00D41392" w:rsidRDefault="004C0940">
            <w:r>
              <w:rPr>
                <w:rFonts w:ascii="Calibri" w:hAnsi="Calibri"/>
                <w:color w:val="1F4E79"/>
              </w:rPr>
              <w:t>2022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14D653D" w14:textId="77777777" w:rsidR="00D41392" w:rsidRDefault="004C0940">
            <w:r>
              <w:rPr>
                <w:rFonts w:ascii="Calibri" w:hAnsi="Calibri"/>
                <w:color w:val="1F4E79"/>
              </w:rPr>
              <w:t>379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131A110" w14:textId="77777777" w:rsidR="00D41392" w:rsidRDefault="004C0940">
            <w:r>
              <w:rPr>
                <w:rFonts w:ascii="Calibri" w:hAnsi="Calibri"/>
                <w:color w:val="1F4E79"/>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7FCBCBA" w14:textId="77777777" w:rsidR="00D41392" w:rsidRDefault="004C0940">
            <w:r>
              <w:rPr>
                <w:rFonts w:ascii="Calibri" w:hAnsi="Calibri"/>
                <w:color w:val="1F4E79"/>
              </w:rPr>
              <w:t>251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5E10436" w14:textId="77777777" w:rsidR="00D41392" w:rsidRDefault="004C0940">
            <w:r>
              <w:rPr>
                <w:rFonts w:ascii="Calibri" w:hAnsi="Calibri"/>
                <w:color w:val="1F4E79"/>
              </w:rPr>
              <w:t>33.8%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46B60E2" w14:textId="77777777" w:rsidR="00D41392" w:rsidRDefault="004C0940">
            <w:r>
              <w:rPr>
                <w:rFonts w:ascii="Calibri" w:hAnsi="Calibri"/>
                <w:color w:val="1F4E79"/>
              </w:rPr>
              <w:t>92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670B312" w14:textId="77777777" w:rsidR="00D41392" w:rsidRDefault="004C0940">
            <w:r>
              <w:rPr>
                <w:rFonts w:ascii="Calibri" w:hAnsi="Calibri"/>
                <w:color w:val="1F4E79"/>
              </w:rPr>
              <w:t>36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C925B68" w14:textId="77777777" w:rsidR="00D41392" w:rsidRDefault="004C0940">
            <w:r>
              <w:rPr>
                <w:rFonts w:ascii="Calibri" w:hAnsi="Calibri"/>
                <w:color w:val="1F4E79"/>
              </w:rPr>
              <w:t>71.9%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5C98285" w14:textId="77777777" w:rsidR="00D41392" w:rsidRDefault="004C0940">
            <w:r>
              <w:rPr>
                <w:rFonts w:ascii="Calibri" w:hAnsi="Calibri"/>
                <w:color w:val="1F4E79"/>
              </w:rPr>
              <w:t>Law2 (1,000₪)</w:t>
            </w:r>
          </w:p>
        </w:tc>
      </w:tr>
      <w:tr w:rsidR="00D41392" w14:paraId="73A581D4"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D72DD08" w14:textId="77777777" w:rsidR="00D41392" w:rsidRDefault="004C0940">
            <w:r>
              <w:rPr>
                <w:rFonts w:ascii="Calibri" w:hAnsi="Calibri"/>
                <w:color w:val="1F4E79"/>
              </w:rPr>
              <w:t>2023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963740" w14:textId="77777777" w:rsidR="00D41392" w:rsidRDefault="004C0940">
            <w:r>
              <w:rPr>
                <w:rFonts w:ascii="Calibri" w:hAnsi="Calibri"/>
                <w:color w:val="1F4E79"/>
              </w:rPr>
              <w:t>347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FD266B2" w14:textId="77777777" w:rsidR="00D41392" w:rsidRDefault="004C0940">
            <w:r>
              <w:rPr>
                <w:rFonts w:ascii="Calibri" w:hAnsi="Calibri"/>
                <w:color w:val="1F4E79"/>
              </w:rPr>
              <w:t>86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5BA8956" w14:textId="77777777" w:rsidR="00D41392" w:rsidRDefault="004C0940">
            <w:r>
              <w:rPr>
                <w:rFonts w:ascii="Calibri" w:hAnsi="Calibri"/>
                <w:color w:val="1F4E79"/>
              </w:rPr>
              <w:t>261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0339DCD" w14:textId="77777777" w:rsidR="00D41392" w:rsidRDefault="004C0940">
            <w:r>
              <w:rPr>
                <w:rFonts w:ascii="Calibri" w:hAnsi="Calibri"/>
                <w:color w:val="1F4E79"/>
              </w:rPr>
              <w:t>24.8%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739C174" w14:textId="77777777" w:rsidR="00D41392" w:rsidRDefault="004C0940">
            <w:r>
              <w:rPr>
                <w:rFonts w:ascii="Calibri" w:hAnsi="Calibri"/>
                <w:color w:val="1F4E79"/>
              </w:rPr>
              <w:t>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DBF3BE8" w14:textId="77777777" w:rsidR="00D41392" w:rsidRDefault="004C0940">
            <w:r>
              <w:rPr>
                <w:rFonts w:ascii="Calibri" w:hAnsi="Calibri"/>
                <w:color w:val="1F4E79"/>
              </w:rPr>
              <w:t>38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C6A1909" w14:textId="77777777" w:rsidR="00D41392" w:rsidRDefault="004C0940">
            <w:r>
              <w:rPr>
                <w:rFonts w:ascii="Calibri" w:hAnsi="Calibri"/>
                <w:color w:val="1F4E79"/>
              </w:rPr>
              <w:t>55.8%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D4F3B5F" w14:textId="77777777" w:rsidR="00D41392" w:rsidRDefault="004C0940">
            <w:r>
              <w:rPr>
                <w:rFonts w:ascii="Calibri" w:hAnsi="Calibri"/>
                <w:color w:val="1F4E79"/>
              </w:rPr>
              <w:t>Law2 (1,000₪)</w:t>
            </w:r>
          </w:p>
        </w:tc>
      </w:tr>
      <w:tr w:rsidR="00D41392" w14:paraId="1AE6FBE9" w14:textId="77777777" w:rsidTr="00342DFD">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F728572" w14:textId="77777777" w:rsidR="00D41392" w:rsidRDefault="004C0940">
            <w:r>
              <w:rPr>
                <w:rFonts w:ascii="Calibri" w:hAnsi="Calibri"/>
                <w:color w:val="1F4E79"/>
              </w:rPr>
              <w:lastRenderedPageBreak/>
              <w:t>2024</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77641C0" w14:textId="77777777" w:rsidR="00D41392" w:rsidRDefault="004C0940">
            <w:r>
              <w:rPr>
                <w:rFonts w:ascii="Calibri" w:hAnsi="Calibri"/>
                <w:b/>
                <w:bCs/>
                <w:color w:val="1F4E79"/>
              </w:rPr>
              <w:t>410</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EC54CB2" w14:textId="77777777" w:rsidR="00D41392" w:rsidRDefault="004C0940">
            <w:r>
              <w:rPr>
                <w:rFonts w:ascii="Calibri" w:hAnsi="Calibri"/>
                <w:b/>
                <w:bCs/>
                <w:color w:val="1F4E79"/>
              </w:rPr>
              <w:t>57</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21C42B9" w14:textId="77777777" w:rsidR="00D41392" w:rsidRDefault="004C0940">
            <w:r>
              <w:rPr>
                <w:rFonts w:ascii="Calibri" w:hAnsi="Calibri"/>
                <w:b/>
                <w:bCs/>
                <w:color w:val="1F4E79"/>
              </w:rPr>
              <w:t>353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31388900" w14:textId="77777777" w:rsidR="00D41392" w:rsidRDefault="004C0940">
            <w:r>
              <w:rPr>
                <w:rFonts w:ascii="Calibri" w:hAnsi="Calibri"/>
                <w:b/>
                <w:bCs/>
                <w:color w:val="1F4E79"/>
              </w:rPr>
              <w:t>13.9%</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0EC9E03" w14:textId="77777777" w:rsidR="00D41392" w:rsidRDefault="004C0940">
            <w:r>
              <w:rPr>
                <w:rFonts w:ascii="Calibri" w:hAnsi="Calibri"/>
                <w:b/>
                <w:bCs/>
                <w:color w:val="1F4E79"/>
              </w:rPr>
              <w:t>36</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076D132" w14:textId="77777777" w:rsidR="00D41392" w:rsidRDefault="004C0940">
            <w:r>
              <w:rPr>
                <w:rFonts w:ascii="Calibri" w:hAnsi="Calibri"/>
                <w:b/>
                <w:bCs/>
                <w:color w:val="1F4E79"/>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194471E3" w14:textId="77777777" w:rsidR="00D41392" w:rsidRDefault="004C0940">
            <w:r>
              <w:rPr>
                <w:rFonts w:ascii="Calibri" w:hAnsi="Calibri"/>
                <w:b/>
                <w:bCs/>
                <w:color w:val="1F4E79"/>
              </w:rPr>
              <w:t>63.2%</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1D1DBB7" w14:textId="77777777" w:rsidR="00D41392" w:rsidRDefault="004C0940">
            <w:r>
              <w:rPr>
                <w:rFonts w:ascii="Calibri" w:hAnsi="Calibri"/>
                <w:b/>
                <w:bCs/>
                <w:color w:val="1F4E79"/>
              </w:rPr>
              <w:t>Law2 (1,000₪)</w:t>
            </w:r>
          </w:p>
        </w:tc>
      </w:tr>
      <w:tr w:rsidR="00D41392" w14:paraId="679606BC" w14:textId="77777777" w:rsidTr="00342DFD">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A5ADA02" w14:textId="77777777" w:rsidR="00D41392" w:rsidRDefault="004C0940">
            <w:r>
              <w:rPr>
                <w:rFonts w:ascii="Calibri" w:hAnsi="Calibri"/>
                <w:color w:val="1F4E79"/>
              </w:rPr>
              <w:t>2025</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A6A59B0" w14:textId="77777777" w:rsidR="00D41392" w:rsidRDefault="004C0940">
            <w:r>
              <w:rPr>
                <w:rFonts w:ascii="Calibri" w:hAnsi="Calibri"/>
                <w:color w:val="1F4E79"/>
              </w:rPr>
              <w:t>423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CFFA268" w14:textId="77777777" w:rsidR="00D41392" w:rsidRDefault="004C0940">
            <w:r>
              <w:rPr>
                <w:rFonts w:ascii="Calibri" w:hAnsi="Calibri"/>
                <w:color w:val="1F4E79"/>
              </w:rPr>
              <w:t>62</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6065828" w14:textId="77777777" w:rsidR="00D41392" w:rsidRDefault="004C0940">
            <w:r>
              <w:rPr>
                <w:rFonts w:ascii="Calibri" w:hAnsi="Calibri"/>
                <w:color w:val="1F4E79"/>
              </w:rPr>
              <w:t>361</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4C70D158" w14:textId="77777777" w:rsidR="00D41392" w:rsidRDefault="004C0940">
            <w:r>
              <w:rPr>
                <w:rFonts w:ascii="Calibri" w:hAnsi="Calibri"/>
                <w:color w:val="1F4E79"/>
              </w:rPr>
              <w:t>14.7%</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1F1BFC81" w14:textId="77777777" w:rsidR="00D41392" w:rsidRDefault="004C0940">
            <w:r>
              <w:rPr>
                <w:rFonts w:ascii="Calibri" w:hAnsi="Calibri"/>
                <w:color w:val="1F4E79"/>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0FB2AB0C" w14:textId="77777777" w:rsidR="00D41392" w:rsidRDefault="004C0940">
            <w:r>
              <w:rPr>
                <w:rFonts w:ascii="Calibri" w:hAnsi="Calibri"/>
                <w:color w:val="1F4E79"/>
              </w:rPr>
              <w:t>33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4589817" w14:textId="77777777" w:rsidR="00D41392" w:rsidRDefault="004C0940">
            <w:r>
              <w:rPr>
                <w:rFonts w:ascii="Calibri" w:hAnsi="Calibri"/>
                <w:color w:val="1F4E79"/>
              </w:rPr>
              <w:t>46.8%</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5CF950D" w14:textId="77777777" w:rsidR="00D41392" w:rsidRDefault="004C0940">
            <w:r>
              <w:rPr>
                <w:rFonts w:ascii="Calibri" w:hAnsi="Calibri"/>
                <w:color w:val="1F4E79"/>
              </w:rPr>
              <w:t>Law2 (1,000₪)</w:t>
            </w:r>
          </w:p>
        </w:tc>
      </w:tr>
    </w:tbl>
    <w:p w14:paraId="40EEB2A8" w14:textId="5C1B2CA5" w:rsidR="005E22EB" w:rsidRDefault="005E22EB" w:rsidP="005E22EB">
      <w:pPr>
        <w:shd w:val="clear" w:color="auto" w:fill="FFFFFF" w:themeFill="background1"/>
        <w:rPr>
          <w:rFonts w:ascii="Calibri" w:hAnsi="Calibri"/>
          <w:sz w:val="22"/>
        </w:rPr>
      </w:pPr>
      <w:r>
        <w:rPr>
          <w:rFonts w:ascii="Calibri" w:hAnsi="Calibri"/>
          <w:b/>
          <w:bCs/>
          <w:sz w:val="22"/>
        </w:rPr>
        <w:t>Electric Bicycle and Scooter Riding Regulation</w:t>
      </w:r>
      <w:r>
        <w:rPr>
          <w:rFonts w:ascii="Calibri" w:hAnsi="Calibri"/>
          <w:sz w:val="22"/>
        </w:rPr>
        <w:t xml:space="preserve"> in Israel effective January 1,2019.</w:t>
      </w:r>
    </w:p>
    <w:p w14:paraId="2048B78B" w14:textId="77777777" w:rsidR="005E22EB" w:rsidRDefault="005E22EB" w:rsidP="005E22EB">
      <w:pPr>
        <w:shd w:val="clear" w:color="auto" w:fill="FFFFFF" w:themeFill="background1"/>
      </w:pPr>
      <w:r>
        <w:rPr>
          <w:rFonts w:ascii="Calibri" w:hAnsi="Calibri"/>
          <w:sz w:val="22"/>
        </w:rPr>
        <w:t>Corresponding periods:</w:t>
      </w:r>
    </w:p>
    <w:p w14:paraId="3E7245DB" w14:textId="5B16809C" w:rsidR="005E22EB" w:rsidRPr="005E22EB" w:rsidRDefault="005E22EB" w:rsidP="005E22EB">
      <w:pPr>
        <w:shd w:val="clear" w:color="auto" w:fill="FFFFFF" w:themeFill="background1"/>
      </w:pPr>
      <w:r>
        <w:rPr>
          <w:rFonts w:ascii="Calibri" w:hAnsi="Calibri"/>
          <w:sz w:val="22"/>
        </w:rPr>
        <w:t>Pre-law (2018) | Law1 250₪ fine (2019-2021) | Law2 1,000₪ fine (2022-2024)</w:t>
      </w:r>
    </w:p>
    <w:p w14:paraId="2281B501" w14:textId="47631039" w:rsidR="00D41392" w:rsidRDefault="007E6C48">
      <w:pPr>
        <w:rPr>
          <w:rFonts w:ascii="Calibri" w:hAnsi="Calibri"/>
          <w:sz w:val="22"/>
        </w:rPr>
      </w:pPr>
      <w:r>
        <w:rPr>
          <w:rFonts w:ascii="Calibri" w:hAnsi="Calibri"/>
          <w:sz w:val="22"/>
        </w:rPr>
        <w:t>Red = 2024-2025 alert. Coverage below 15% should be treated with caution.</w:t>
      </w:r>
    </w:p>
    <w:p w14:paraId="4A5569A7" w14:textId="77777777" w:rsidR="00342DFD" w:rsidRDefault="00342DFD" w:rsidP="00342DFD">
      <w:pPr>
        <w:jc w:val="center"/>
      </w:pPr>
    </w:p>
    <w:p w14:paraId="6509A853" w14:textId="77777777" w:rsidR="00D41392" w:rsidRDefault="004C0940" w:rsidP="00342DFD">
      <w:pPr>
        <w:jc w:val="center"/>
      </w:pPr>
      <w:r>
        <w:rPr>
          <w:rFonts w:ascii="Calibri" w:hAnsi="Calibri"/>
          <w:b/>
          <w:bCs/>
          <w:sz w:val="22"/>
        </w:rPr>
        <w:t>Annual Helmet Rate, Coverage, and Severity Trends (2018-2025)</w:t>
      </w:r>
    </w:p>
    <w:p w14:paraId="3E8B6480" w14:textId="77777777" w:rsidR="00D41392" w:rsidRDefault="004C0940" w:rsidP="00342DFD">
      <w:pPr>
        <w:jc w:val="center"/>
      </w:pPr>
      <w:r>
        <w:rPr>
          <w:rFonts w:ascii="Calibri" w:hAnsi="Calibri"/>
          <w:noProof/>
          <w:sz w:val="22"/>
        </w:rPr>
        <w:drawing>
          <wp:inline distT="0" distB="0" distL="0" distR="0" wp14:anchorId="587BFE4A" wp14:editId="15642CC7">
            <wp:extent cx="5943600" cy="30924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4.png"/>
                    <pic:cNvPicPr>
                      <a:picLocks noChangeAspect="1" noChangeArrowheads="1"/>
                    </pic:cNvPicPr>
                  </pic:nvPicPr>
                  <pic:blipFill>
                    <a:blip r:embed="rId9"/>
                    <a:stretch>
                      <a:fillRect/>
                    </a:stretch>
                  </pic:blipFill>
                  <pic:spPr bwMode="auto">
                    <a:xfrm>
                      <a:off x="0" y="0"/>
                      <a:ext cx="5943600" cy="3092450"/>
                    </a:xfrm>
                    <a:prstGeom prst="rect">
                      <a:avLst/>
                    </a:prstGeom>
                    <a:noFill/>
                    <a:ln w="9525">
                      <a:noFill/>
                      <a:headEnd/>
                      <a:tailEnd/>
                    </a:ln>
                  </pic:spPr>
                </pic:pic>
              </a:graphicData>
            </a:graphic>
          </wp:inline>
        </w:drawing>
      </w:r>
    </w:p>
    <w:p w14:paraId="049B4F01" w14:textId="16F4B488" w:rsidR="00D41392" w:rsidRDefault="004C0940" w:rsidP="00342DFD">
      <w:pPr>
        <w:jc w:val="center"/>
      </w:pPr>
      <w:r>
        <w:rPr>
          <w:rFonts w:ascii="Calibri" w:hAnsi="Calibri"/>
          <w:i/>
          <w:iCs/>
          <w:sz w:val="22"/>
        </w:rPr>
        <w:t>Figure 2.3: Annual helmet rate, coverage, and severity trends, 2018–2025</w:t>
      </w:r>
    </w:p>
    <w:p w14:paraId="60B90EFE" w14:textId="77777777" w:rsidR="007E6C48" w:rsidRDefault="004C0940">
      <w:pPr>
        <w:rPr>
          <w:rFonts w:ascii="Calibri" w:hAnsi="Calibri"/>
          <w:sz w:val="22"/>
        </w:rPr>
      </w:pPr>
      <w:r>
        <w:rPr>
          <w:rFonts w:ascii="Calibri" w:hAnsi="Calibri"/>
          <w:sz w:val="22"/>
        </w:rPr>
        <w:t xml:space="preserve"> </w:t>
      </w:r>
    </w:p>
    <w:p w14:paraId="0E38E6D9" w14:textId="77777777" w:rsidR="007E6C48" w:rsidRDefault="007E6C48">
      <w:pPr>
        <w:rPr>
          <w:rFonts w:ascii="Calibri" w:hAnsi="Calibri"/>
          <w:sz w:val="22"/>
        </w:rPr>
      </w:pPr>
    </w:p>
    <w:p w14:paraId="55329E4C" w14:textId="7D26F0F7" w:rsidR="00D41392" w:rsidRDefault="00D41392"/>
    <w:p w14:paraId="11EFA7A6" w14:textId="77777777" w:rsidR="00D41392" w:rsidRDefault="004C0940">
      <w:r>
        <w:rPr>
          <w:rFonts w:ascii="Calibri" w:hAnsi="Calibri"/>
          <w:b/>
          <w:bCs/>
          <w:sz w:val="22"/>
        </w:rPr>
        <w:t>Statistical Test for Trend:</w:t>
      </w:r>
      <w:r>
        <w:rPr>
          <w:rFonts w:ascii="Calibri" w:hAnsi="Calibri"/>
          <w:sz w:val="22"/>
        </w:rPr>
        <w:t xml:space="preserve"> Cochran-Armitage test for helmet rate trend 2018-2024: - χ² for trend = 52.3, </w:t>
      </w:r>
      <w:proofErr w:type="spellStart"/>
      <w:r>
        <w:rPr>
          <w:rFonts w:ascii="Calibri" w:hAnsi="Calibri"/>
          <w:sz w:val="22"/>
        </w:rPr>
        <w:t>df</w:t>
      </w:r>
      <w:proofErr w:type="spellEnd"/>
      <w:r>
        <w:rPr>
          <w:rFonts w:ascii="Calibri" w:hAnsi="Calibri"/>
          <w:sz w:val="22"/>
        </w:rPr>
        <w:t xml:space="preserve"> = 1, p &lt; 0.001 - Result: Highly significant upward trend in helmet compliance over time, supporting law effectiveness.</w:t>
      </w:r>
    </w:p>
    <w:p w14:paraId="31FF3D35" w14:textId="77777777" w:rsidR="00D41392" w:rsidRPr="007E6C48" w:rsidRDefault="004C0940">
      <w:pPr>
        <w:rPr>
          <w:b/>
          <w:bCs/>
        </w:rPr>
      </w:pPr>
      <w:r>
        <w:rPr>
          <w:rFonts w:ascii="Calibri" w:hAnsi="Calibri"/>
          <w:b/>
          <w:bCs/>
          <w:sz w:val="22"/>
        </w:rPr>
        <w:t>Key findings:</w:t>
      </w:r>
    </w:p>
    <w:p w14:paraId="27DBF30C" w14:textId="77777777" w:rsidR="00D41392" w:rsidRDefault="004C0940">
      <w:pPr>
        <w:numPr>
          <w:ilvl w:val="0"/>
          <w:numId w:val="16"/>
        </w:numPr>
      </w:pPr>
      <w:r>
        <w:rPr>
          <w:rFonts w:ascii="Calibri" w:hAnsi="Calibri"/>
          <w:sz w:val="22"/>
        </w:rPr>
        <w:t>Pre-law baseline (2018): 25.0% helmet rate among known riders</w:t>
      </w:r>
    </w:p>
    <w:p w14:paraId="3C07D034" w14:textId="77777777" w:rsidR="00D41392" w:rsidRDefault="004C0940">
      <w:pPr>
        <w:numPr>
          <w:ilvl w:val="0"/>
          <w:numId w:val="16"/>
        </w:numPr>
      </w:pPr>
      <w:r>
        <w:rPr>
          <w:rFonts w:ascii="Calibri" w:hAnsi="Calibri"/>
          <w:sz w:val="22"/>
        </w:rPr>
        <w:t>Law1 period (2019–2021): 56.3% average (+31.3 pts)</w:t>
      </w:r>
    </w:p>
    <w:p w14:paraId="12CB2140" w14:textId="77777777" w:rsidR="00D41392" w:rsidRDefault="004C0940">
      <w:pPr>
        <w:numPr>
          <w:ilvl w:val="0"/>
          <w:numId w:val="16"/>
        </w:numPr>
      </w:pPr>
      <w:r>
        <w:rPr>
          <w:rFonts w:ascii="Calibri" w:hAnsi="Calibri"/>
          <w:sz w:val="22"/>
        </w:rPr>
        <w:t>Law2 period (2022–2024): 63.6% average (+38.6 pts)</w:t>
      </w:r>
    </w:p>
    <w:p w14:paraId="15C75D3C" w14:textId="77777777" w:rsidR="00D41392" w:rsidRDefault="004C0940">
      <w:pPr>
        <w:numPr>
          <w:ilvl w:val="0"/>
          <w:numId w:val="16"/>
        </w:numPr>
      </w:pPr>
      <w:r>
        <w:rPr>
          <w:rFonts w:ascii="Calibri" w:hAnsi="Calibri"/>
          <w:sz w:val="22"/>
        </w:rPr>
        <w:t>Statistical significance: z=3.63, p&lt;0.001</w:t>
      </w:r>
    </w:p>
    <w:p w14:paraId="2E110004" w14:textId="1E93D69E" w:rsidR="00D41392" w:rsidRPr="00D64E7A" w:rsidRDefault="004C0940">
      <w:pPr>
        <w:numPr>
          <w:ilvl w:val="0"/>
          <w:numId w:val="16"/>
        </w:numPr>
      </w:pPr>
      <w:r>
        <w:rPr>
          <w:rFonts w:ascii="Calibri" w:hAnsi="Calibri"/>
          <w:sz w:val="22"/>
        </w:rPr>
        <w:t>2023 anomaly: helmet rate fell from 71.9% (2022) to 55.8% (2023) as coverage also dropped from 33.8% to 24.8% — rate and coverage track together throughout the series, suggesting this is a recording artefact, not a compliance reversal</w:t>
      </w:r>
    </w:p>
    <w:p w14:paraId="1C507721" w14:textId="1E93D69E" w:rsidR="00D41392" w:rsidRPr="00D64E7A" w:rsidRDefault="004C0940">
      <w:pPr>
        <w:numPr>
          <w:ilvl w:val="0"/>
          <w:numId w:val="16"/>
        </w:numPr>
      </w:pPr>
      <w:r>
        <w:rPr>
          <w:rFonts w:ascii="Calibri" w:hAnsi="Calibri"/>
          <w:sz w:val="22"/>
        </w:rPr>
        <w:t>2025 crisis: Highest crash volume (423) + low coverage (14.7%) + helmet rate drop to 46.8%</w:t>
      </w:r>
    </w:p>
    <w:p w14:paraId="2F8A3D91" w14:textId="77777777" w:rsidR="00D41392" w:rsidRDefault="00D41392">
      <w:pPr>
        <w:numPr>
          <w:ilvl w:val="0"/>
          <w:numId w:val="16"/>
        </w:numPr>
        <w:rPr>
          <w:rFonts w:ascii="Calibri" w:hAnsi="Calibri"/>
          <w:sz w:val="22"/>
        </w:rPr>
      </w:pPr>
      <w:r>
        <w:rPr>
          <w:rFonts w:ascii="Calibri" w:hAnsi="Calibri"/>
          <w:sz w:val="22"/>
        </w:rPr>
        <w:t>Severity was highest in 2022 (10.8%), then declined to 7.8% in 2024–2025</w:t>
      </w:r>
    </w:p>
    <w:p w14:paraId="5BE1D4E5" w14:textId="77777777" w:rsidR="00D64E7A" w:rsidRDefault="00D64E7A" w:rsidP="00D64E7A">
      <w:pPr>
        <w:ind w:left="720"/>
      </w:pPr>
    </w:p>
    <w:p w14:paraId="7BF6DC6C" w14:textId="77777777" w:rsidR="00D41392" w:rsidRPr="00342DFD" w:rsidRDefault="004C0940" w:rsidP="00C820F0">
      <w:pPr>
        <w:pStyle w:val="Heading2"/>
      </w:pPr>
      <w:r>
        <w:t>2.4 Gender: Helmet Compliance and Injury Severity</w:t>
      </w:r>
    </w:p>
    <w:p w14:paraId="2E130001" w14:textId="2E130001" w:rsidR="00D41392" w:rsidRDefault="00D41392">
      <w:pPr>
        <w:jc w:val="center"/>
        <w:rPr>
          <w:rFonts w:ascii="Calibri" w:hAnsi="Calibri"/>
          <w:sz w:val="22"/>
        </w:rPr>
      </w:pPr>
      <w:r>
        <w:rPr>
          <w:rFonts w:ascii="Calibri" w:hAnsi="Calibri"/>
          <w:noProof/>
          <w:sz w:val="22"/>
        </w:rPr>
        <w:lastRenderedPageBreak/>
        <w:drawing>
          <wp:inline distT="0" distB="0" distL="0" distR="0" wp14:anchorId="2E130002" wp14:editId="2E130003">
            <wp:extent cx="5943600" cy="2258568"/>
            <wp:effectExtent l="0" t="0" r="0" b="0"/>
            <wp:docPr id="2001" name="Figure2_4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e2_4_ab" descr="media/image5.png"/>
                    <pic:cNvPicPr>
                      <a:picLocks noChangeAspect="1" noChangeArrowheads="1"/>
                    </pic:cNvPicPr>
                  </pic:nvPicPr>
                  <pic:blipFill>
                    <a:blip r:embed="rId10"/>
                    <a:stretch>
                      <a:fillRect/>
                    </a:stretch>
                  </pic:blipFill>
                  <pic:spPr bwMode="auto">
                    <a:xfrm>
                      <a:off x="0" y="0"/>
                      <a:ext cx="5943600" cy="2258568"/>
                    </a:xfrm>
                    <a:prstGeom prst="rect">
                      <a:avLst/>
                    </a:prstGeom>
                    <a:noFill/>
                    <a:ln w="9525">
                      <a:noFill/>
                      <a:headEnd/>
                      <a:tailEnd/>
                    </a:ln>
                  </pic:spPr>
                </pic:pic>
              </a:graphicData>
            </a:graphic>
          </wp:inline>
        </w:drawing>
      </w:r>
    </w:p>
    <w:p w14:paraId="2E130004" w14:textId="2E130004" w:rsidR="00D41392" w:rsidRDefault="00D41392">
      <w:pPr>
        <w:jc w:val="center"/>
        <w:rPr>
          <w:rFonts w:ascii="Calibri" w:hAnsi="Calibri"/>
          <w:i/>
          <w:iCs/>
          <w:color w:val="666666"/>
          <w:sz w:val="22"/>
        </w:rPr>
      </w:pPr>
      <w:r>
        <w:rPr>
          <w:rFonts w:ascii="Calibri" w:hAnsi="Calibri"/>
          <w:i/>
          <w:iCs/>
          <w:color w:val="666666"/>
          <w:sz w:val="22"/>
        </w:rPr>
        <w:t>Figure 2.4: Gender distribution, helmet compliance and injury severity in CBS crash records (2018–2025). (a) All ES users with known gender (n=2,238): share of total riders and severity rate by gender. (b) All ES users with known gender AND known helmet status (n=638): share within subset, severity rate (red solid), and helmet compliance rate (navy dashed). Bars: male=blue, female=pink.</w:t>
      </w:r>
    </w:p>
    <w:p w14:paraId="2E130005" w14:textId="2E130005" w:rsidR="00D41392" w:rsidRDefault="00D41392">
      <w:pPr>
        <w:spacing w:after="120"/>
        <w:rPr>
          <w:rFonts w:ascii="Calibri" w:hAnsi="Calibri"/>
          <w:b/>
          <w:bCs/>
          <w:sz w:val="22"/>
        </w:rPr>
      </w:pPr>
      <w:r>
        <w:rPr>
          <w:rFonts w:ascii="Calibri" w:hAnsi="Calibri"/>
          <w:b/>
          <w:bCs/>
          <w:sz w:val="22"/>
        </w:rPr>
        <w:t xml:space="preserve">Panel (a) — all known-gender riders (n=2,238): </w:t>
      </w:r>
      <w:r>
        <w:rPr>
          <w:rFonts w:ascii="Calibri" w:hAnsi="Calibri"/>
          <w:sz w:val="22"/>
        </w:rPr>
        <w:t>Males account for 70.8% (n=1,584) and females for 29.2% (n=654). Severity rate: males 10.4% vs females 7.3% (z=2.28, p=0.023, significant). Panel (a) captures all riders regardless of helmet status and is the broadest gender comparison available.</w:t>
      </w:r>
    </w:p>
    <w:p w14:paraId="2E130006" w14:textId="2E130006" w:rsidR="00D41392" w:rsidRDefault="00D41392">
      <w:pPr>
        <w:spacing w:after="120"/>
        <w:rPr>
          <w:rFonts w:ascii="Calibri" w:hAnsi="Calibri"/>
          <w:b/>
          <w:bCs/>
          <w:sz w:val="22"/>
        </w:rPr>
      </w:pPr>
      <w:r>
        <w:rPr>
          <w:rFonts w:ascii="Calibri" w:hAnsi="Calibri"/>
          <w:b/>
          <w:bCs/>
          <w:sz w:val="22"/>
        </w:rPr>
        <w:t xml:space="preserve">Panel (b) — known-helmet subset (all ES users, n=638): </w:t>
      </w:r>
      <w:r>
        <w:rPr>
          <w:rFonts w:ascii="Calibri" w:hAnsi="Calibri"/>
          <w:sz w:val="22"/>
        </w:rPr>
        <w:t>Gender split 69.9% male (n=446) / 30.1% female (n=192) — not significantly different from panel (a) (χ²=0.247, p=0.619), confirming the subset is gender-representative of all CBS crash records. Severity rates: males 28.7%, females 21.9% (z=1.78, p=0.075, not significant but directionally consistent with panel a). Severity is markedly elevated compared to panel (a) because police record helmet status disproportionately in serious crashes — this is a severity-selected subset. Helmet compliance: males 57.4%, females 64.1% (6.7pp difference, z=−1.58, p=0.114, not significant).</w:t>
      </w:r>
    </w:p>
    <w:p w14:paraId="2E140001" w14:textId="2E140001" w:rsidR="00D41392" w:rsidRDefault="00D41392">
      <w:pPr>
        <w:spacing w:before="200" w:after="60"/>
        <w:rPr>
          <w:rFonts w:ascii="Calibri" w:hAnsi="Calibri"/>
          <w:b/>
          <w:bCs/>
          <w:sz w:val="22"/>
        </w:rPr>
      </w:pPr>
      <w:r>
        <w:rPr>
          <w:rFonts w:ascii="Calibri" w:hAnsi="Calibri"/>
          <w:b/>
          <w:bCs/>
          <w:sz w:val="22"/>
        </w:rPr>
        <w:t>Helmet Protective Effect by Gender</w:t>
      </w:r>
    </w:p>
    <w:p w14:paraId="2E140002" w14:textId="2E140002" w:rsidR="00D41392" w:rsidRDefault="00D41392">
      <w:pPr>
        <w:spacing w:after="100"/>
        <w:rPr>
          <w:rFonts w:ascii="Calibri" w:hAnsi="Calibri"/>
          <w:sz w:val="22"/>
        </w:rPr>
      </w:pPr>
      <w:r>
        <w:rPr>
          <w:rFonts w:ascii="Calibri" w:hAnsi="Calibri"/>
          <w:sz w:val="22"/>
        </w:rPr>
        <w:t>The helmet protective effect measures how much more likely a rider is to sustain a severe or fatal injury when riding without a helmet compared to riding with one, within the same gender group. It is calculated as the Relative Risk (RR) = severe injury rate (no helmet) ÷ severe injury rate (helmet). RR=1.0 means no difference; RR=2.0 means twice the risk without a helmet.</w:t>
      </w:r>
    </w:p>
    <w:p w14:paraId="2E140003" w14:textId="2E140003" w:rsidR="00D41392" w:rsidRDefault="00D41392">
      <w:pPr>
        <w:spacing w:after="100"/>
        <w:rPr>
          <w:rFonts w:ascii="Calibri" w:hAnsi="Calibri"/>
          <w:sz w:val="22"/>
        </w:rPr>
      </w:pPr>
      <w:r>
        <w:rPr>
          <w:rFonts w:ascii="Calibri" w:hAnsi="Calibri"/>
          <w:b/>
          <w:bCs/>
          <w:sz w:val="22"/>
        </w:rPr>
        <w:t xml:space="preserve">Male riders (n=446): </w:t>
      </w:r>
      <w:r>
        <w:rPr>
          <w:rFonts w:ascii="Calibri" w:hAnsi="Calibri"/>
          <w:sz w:val="22"/>
        </w:rPr>
        <w:t>helmeted males have a severe injury rate of 18.0% (46 of 256); non-helmeted males 43.2% (82 of 190). RR = 2.40× — non-helmeted male riders face 2.4 times higher risk of severe/fatal injury. Two-proportion z-test: z=5.82, p&lt;0.001. This is the largest and most statistically robust finding in the gender analysis.</w:t>
      </w:r>
    </w:p>
    <w:p w14:paraId="2E140004" w14:textId="2E140004" w:rsidR="00D41392" w:rsidRDefault="00D41392">
      <w:pPr>
        <w:spacing w:after="100"/>
        <w:rPr>
          <w:rFonts w:ascii="Calibri" w:hAnsi="Calibri"/>
          <w:sz w:val="22"/>
        </w:rPr>
      </w:pPr>
      <w:r>
        <w:rPr>
          <w:rFonts w:ascii="Calibri" w:hAnsi="Calibri"/>
          <w:b/>
          <w:bCs/>
          <w:sz w:val="22"/>
        </w:rPr>
        <w:t xml:space="preserve">Female riders (n=192): </w:t>
      </w:r>
      <w:r>
        <w:rPr>
          <w:rFonts w:ascii="Calibri" w:hAnsi="Calibri"/>
          <w:sz w:val="22"/>
        </w:rPr>
        <w:t>helmeted females have a severe injury rate of 17.1% (21 of 123); non-helmeted females 30.4% (21 of 69). RR = 1.78× — non-helmeted female riders face 1.78 times higher risk. Two-proportion z-test: z=2.14, p=0.032. The effect is statistically significant, though smaller in magnitude than for males. The smaller RR likely reflects the smaller sample rather than a genuinely weaker protective effect — the interaction test between genders does not reach significance.</w:t>
      </w:r>
    </w:p>
    <w:p w14:paraId="2E140005" w14:textId="2E140005" w:rsidR="00D41392" w:rsidRDefault="00D41392">
      <w:pPr>
        <w:pBdr>
          <w:left w:val="single" w:sz="12" w:space="0" w:color="C55A11"/>
        </w:pBdr>
        <w:shd w:val="clear" w:color="auto" w:fill="EBF3FB"/>
        <w:spacing w:before="200" w:after="200"/>
        <w:ind w:left="180"/>
        <w:rPr>
          <w:rFonts w:ascii="Calibri" w:hAnsi="Calibri"/>
          <w:i/>
          <w:iCs/>
          <w:sz w:val="22"/>
        </w:rPr>
      </w:pPr>
      <w:r>
        <w:rPr>
          <w:rFonts w:ascii="Calibri" w:hAnsi="Calibri"/>
          <w:i/>
          <w:iCs/>
          <w:sz w:val="22"/>
        </w:rPr>
        <w:t>Key finding: Helmets provide a confirmed, statistically significant protective effect for both male and female e-scooter riders. Male riders without a helmet face 2.40× higher severe injury risk (p&lt;0.001); female riders without a helmet face 1.78× higher risk (p=0.032). The overall effect across all known-helmet riders is RR=2.28× (17.3% vs 39.5% severe; z=6.38, p&lt;0.001, n=664).</w:t>
      </w:r>
    </w:p>
    <w:p w14:paraId="2E120001" w14:textId="2E120001" w:rsidR="00D41392" w:rsidRDefault="00D41392">
      <w:pPr>
        <w:spacing w:before="240" w:after="60"/>
        <w:rPr>
          <w:rFonts w:ascii="Calibri" w:hAnsi="Calibri"/>
          <w:b/>
          <w:bCs/>
          <w:sz w:val="22"/>
        </w:rPr>
      </w:pPr>
      <w:r>
        <w:rPr>
          <w:rFonts w:ascii="Calibri" w:hAnsi="Calibri"/>
          <w:b/>
          <w:bCs/>
          <w:sz w:val="22"/>
        </w:rPr>
        <w:lastRenderedPageBreak/>
        <w:t>Gender Distribution: CBS Crash Victims vs General Riding Population</w:t>
      </w:r>
    </w:p>
    <w:p w14:paraId="2E120002" w14:textId="2E120002" w:rsidR="00D41392" w:rsidRDefault="00D41392">
      <w:pPr>
        <w:spacing w:after="120"/>
        <w:rPr>
          <w:rFonts w:ascii="Calibri" w:hAnsi="Calibri"/>
          <w:sz w:val="22"/>
        </w:rPr>
      </w:pPr>
      <w:r>
        <w:rPr>
          <w:rFonts w:ascii="Calibri" w:hAnsi="Calibri"/>
          <w:sz w:val="22"/>
        </w:rPr>
        <w:t>Section 2.4 above compares compliance and severity within CBS (helmeted vs non-helmeted). A separate question is whether the gender composition of CBS crash victims matches that of the general riding population. This matters because a disproportionate share of females in crash records would suggest either a higher female crash rate relative to ridership, or systematic differences in which records have helmet status documented.</w:t>
      </w:r>
    </w:p>
    <w:p w14:paraId="2E120003" w14:textId="2E120003" w:rsidR="00D41392" w:rsidRDefault="00D41392">
      <w:pPr>
        <w:spacing w:after="120"/>
        <w:rPr>
          <w:rFonts w:ascii="Calibri" w:hAnsi="Calibri"/>
          <w:sz w:val="22"/>
        </w:rPr>
      </w:pPr>
      <w:r>
        <w:rPr>
          <w:rFonts w:ascii="Calibri" w:hAnsi="Calibri"/>
          <w:sz w:val="22"/>
        </w:rPr>
        <w:t xml:space="preserve">Across sources, the male share of e-scooter users differs substantially. Tel Aviv shared-scooter surveys report </w:t>
      </w:r>
      <w:r>
        <w:rPr>
          <w:rFonts w:ascii="Calibri" w:hAnsi="Calibri"/>
          <w:b/>
          <w:bCs/>
          <w:sz w:val="22"/>
        </w:rPr>
        <w:t>82% male (2021) and 80% male (2022)</w:t>
      </w:r>
      <w:r>
        <w:rPr>
          <w:rFonts w:ascii="Calibri" w:hAnsi="Calibri"/>
          <w:sz w:val="22"/>
        </w:rPr>
        <w:t xml:space="preserve"> among shared-scooter subscribers. Enforcement fines began at 80% male in 2019. By contrast, the CBS known-helmet-status subset is only </w:t>
      </w:r>
      <w:r>
        <w:rPr>
          <w:rFonts w:ascii="Calibri" w:hAnsi="Calibri"/>
          <w:b/>
          <w:bCs/>
          <w:sz w:val="22"/>
        </w:rPr>
        <w:t>69.9% male (446 of 638)</w:t>
      </w:r>
      <w:r>
        <w:rPr>
          <w:rFonts w:ascii="Calibri" w:hAnsi="Calibri"/>
          <w:sz w:val="22"/>
        </w:rPr>
        <w:t xml:space="preserve"> — meaning females account for 30.1% (192 of 638) of crash records with known helmet status, versus only 18–20% of shared-scooter survey respondents. Across all CBS ES users with known gender (n=2,238, 2018–2025), the full-population figure is 29.2% female (654 of 2,238) — confirming the pattern is consistent across both subsets.</w:t>
      </w:r>
    </w:p>
    <w:p w14:paraId="2E120004" w14:textId="2E120004" w:rsidR="00D41392" w:rsidRDefault="00D41392">
      <w:pPr>
        <w:spacing w:after="120"/>
        <w:rPr>
          <w:rFonts w:ascii="Calibri" w:hAnsi="Calibri"/>
          <w:sz w:val="22"/>
        </w:rPr>
      </w:pPr>
      <w:r>
        <w:rPr>
          <w:rFonts w:ascii="Calibri" w:hAnsi="Calibri"/>
          <w:b/>
          <w:bCs/>
          <w:sz w:val="22"/>
        </w:rPr>
        <w:t xml:space="preserve">Statistical test: </w:t>
      </w:r>
      <w:r>
        <w:rPr>
          <w:rFonts w:ascii="Calibri" w:hAnsi="Calibri"/>
          <w:sz w:val="22"/>
        </w:rPr>
        <w:t xml:space="preserve">Two chi-square goodness-of-fit tests, using the full CBS known-gender population (n=2,238, 70.8% M / 29.2% F) against each survey benchmark: vs survey 2021 (82% M / 18% F): χ²=191.0, </w:t>
      </w:r>
      <w:proofErr w:type="spellStart"/>
      <w:r>
        <w:rPr>
          <w:rFonts w:ascii="Calibri" w:hAnsi="Calibri"/>
          <w:sz w:val="22"/>
        </w:rPr>
        <w:t>df</w:t>
      </w:r>
      <w:proofErr w:type="spellEnd"/>
      <w:r>
        <w:rPr>
          <w:rFonts w:ascii="Calibri" w:hAnsi="Calibri"/>
          <w:sz w:val="22"/>
        </w:rPr>
        <w:t xml:space="preserve">=1, p&lt;0.001. Vs survey 2022 (80% M / 20% F): χ²=119.0, </w:t>
      </w:r>
      <w:proofErr w:type="spellStart"/>
      <w:r>
        <w:rPr>
          <w:rFonts w:ascii="Calibri" w:hAnsi="Calibri"/>
          <w:sz w:val="22"/>
        </w:rPr>
        <w:t>df</w:t>
      </w:r>
      <w:proofErr w:type="spellEnd"/>
      <w:r>
        <w:rPr>
          <w:rFonts w:ascii="Calibri" w:hAnsi="Calibri"/>
          <w:sz w:val="22"/>
        </w:rPr>
        <w:t xml:space="preserve">=1, p&lt;0.001. Female over-representation in CBS crash records relative to the general riding population is highly significant under both benchmarks. Internal consistency check: the known-helmet subset (69.9% M / 30.1% F, n=638) does not differ significantly from the full CBS known-gender population (χ²=0.247, </w:t>
      </w:r>
      <w:proofErr w:type="spellStart"/>
      <w:r>
        <w:rPr>
          <w:rFonts w:ascii="Calibri" w:hAnsi="Calibri"/>
          <w:sz w:val="22"/>
        </w:rPr>
        <w:t>df</w:t>
      </w:r>
      <w:proofErr w:type="spellEnd"/>
      <w:r>
        <w:rPr>
          <w:rFonts w:ascii="Calibri" w:hAnsi="Calibri"/>
          <w:sz w:val="22"/>
        </w:rPr>
        <w:t xml:space="preserve">=1, p=0.619), confirming that the known-helmet subset is gender-representative of all CBS crash records.  A second finding from the full known-gender population concerns injury severity. Male riders show a higher severe/fatal injury rate than females across all known-gender CBS records: 10.4% (165 of 1,584) vs 7.3% (48 of 654); z=2.28, p=0.023. This is directionally consistent with the known-helmet subset (Section 2.4, panel b), where males also show higher severity (28.7% vs 21.9%), though the difference does not reach significance there (p=0.075) partly due to the smaller n=638. Both subsets point in the same direction: males sustain more severe injuries, consistent with higher average speed and risk-taking </w:t>
      </w:r>
      <w:proofErr w:type="spellStart"/>
      <w:r>
        <w:rPr>
          <w:rFonts w:ascii="Calibri" w:hAnsi="Calibri"/>
          <w:sz w:val="22"/>
        </w:rPr>
        <w:t>behaviour</w:t>
      </w:r>
      <w:proofErr w:type="spellEnd"/>
      <w:r>
        <w:rPr>
          <w:rFonts w:ascii="Calibri" w:hAnsi="Calibri"/>
          <w:sz w:val="22"/>
        </w:rPr>
        <w:t xml:space="preserve"> reported in international e-scooter literature. The severity inflation in panel (b) relative to panel (a) (28–29% vs 10–11%) is explained by selection bias: police record helmet status disproportionately in serious crashes.</w:t>
      </w:r>
    </w:p>
    <w:p w14:paraId="2E120005" w14:textId="2E120005" w:rsidR="00D41392" w:rsidRDefault="00D41392">
      <w:pPr>
        <w:spacing w:after="120"/>
        <w:rPr>
          <w:rFonts w:ascii="Calibri" w:hAnsi="Calibri"/>
          <w:sz w:val="22"/>
        </w:rPr>
      </w:pPr>
      <w:r>
        <w:rPr>
          <w:rFonts w:ascii="Calibri" w:hAnsi="Calibri"/>
          <w:b/>
          <w:bCs/>
          <w:sz w:val="22"/>
        </w:rPr>
        <w:t xml:space="preserve">Three explanations are plausible and cannot be distinguished with available data: </w:t>
      </w:r>
      <w:r>
        <w:rPr>
          <w:rFonts w:ascii="Calibri" w:hAnsi="Calibri"/>
          <w:sz w:val="22"/>
        </w:rPr>
        <w:t>(1) Female riders crash at a disproportionately higher rate relative to their ridership share. Using survey 2022 as a ridership proxy (20% female riders), the implied female-to-male crash rate ratio is approximately 1.65× — females appear to crash roughly 65% more per rider than males. This is consistent with evidence from other sources that female riders may undertake shorter, more urban trips with higher intersection exposure, though this cannot be confirmed here. (2) CBS covers all e-scooter riders including private owners, while surveys capture only shared-scooter subscribers; if private ownership skews more female than shared use, the population compositions would legitimately differ without implying a higher crash rate. (3) Police may record gender more consistently than helmet status, making the CBS gender figure more reliable than the helmet-status figure, but the direction of any documentation bias is unclear. Resolving which explanation dominates requires trip-level exposure data by gender, which is not available in this study.</w:t>
      </w:r>
    </w:p>
    <w:p w14:paraId="79B2FF09" w14:textId="77777777" w:rsidR="007E6C48" w:rsidRDefault="007E6C48"/>
    <w:p w14:paraId="0FEB9F37" w14:textId="77777777" w:rsidR="00D41392" w:rsidRDefault="004C0940" w:rsidP="00C820F0">
      <w:pPr>
        <w:pStyle w:val="Heading2"/>
      </w:pPr>
      <w:bookmarkStart w:id="2" w:name="X2f319fe6d9063a4c02597f9c28bcf42ef9cdb61"/>
      <w:r>
        <w:t>2.5 Age Groups: Helmet Protective Effect Across Demographics</w:t>
      </w:r>
    </w:p>
    <w:p w14:paraId="5D47CA69" w14:textId="77777777" w:rsidR="00D41392" w:rsidRDefault="004C0940">
      <w:r>
        <w:rPr>
          <w:rFonts w:ascii="Calibri" w:hAnsi="Calibri"/>
          <w:sz w:val="22"/>
        </w:rPr>
        <w:t>Helmet compliance and protective effectiveness varies substantially by age group. Relative Risk (RR) indicates how much more likely non-helmeted riders are to suffer severe injuries compared to helmeted riders within each age bracket.</w:t>
      </w:r>
    </w:p>
    <w:p w14:paraId="262CF849" w14:textId="77777777" w:rsidR="00D41392" w:rsidRDefault="004C0940">
      <w:r>
        <w:rPr>
          <w:rFonts w:ascii="Calibri" w:hAnsi="Calibri"/>
          <w:noProof/>
          <w:sz w:val="22"/>
        </w:rPr>
        <w:lastRenderedPageBreak/>
        <w:drawing>
          <wp:inline distT="0" distB="0" distL="0" distR="0" wp14:anchorId="0FB65541" wp14:editId="09EEECC1">
            <wp:extent cx="5271715" cy="2703195"/>
            <wp:effectExtent l="0" t="0" r="5715" b="1905"/>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6.png"/>
                    <pic:cNvPicPr>
                      <a:picLocks noChangeAspect="1" noChangeArrowheads="1"/>
                    </pic:cNvPicPr>
                  </pic:nvPicPr>
                  <pic:blipFill>
                    <a:blip r:embed="rId11"/>
                    <a:stretch>
                      <a:fillRect/>
                    </a:stretch>
                  </pic:blipFill>
                  <pic:spPr bwMode="auto">
                    <a:xfrm>
                      <a:off x="0" y="0"/>
                      <a:ext cx="5309880" cy="2722765"/>
                    </a:xfrm>
                    <a:prstGeom prst="rect">
                      <a:avLst/>
                    </a:prstGeom>
                    <a:noFill/>
                    <a:ln w="9525">
                      <a:noFill/>
                      <a:headEnd/>
                      <a:tailEnd/>
                    </a:ln>
                  </pic:spPr>
                </pic:pic>
              </a:graphicData>
            </a:graphic>
          </wp:inline>
        </w:drawing>
      </w:r>
    </w:p>
    <w:p w14:paraId="263DCFB4" w14:textId="77777777" w:rsidR="00D41392" w:rsidRDefault="004C0940">
      <w:r>
        <w:rPr>
          <w:rFonts w:ascii="Calibri" w:hAnsi="Calibri"/>
          <w:i/>
          <w:iCs/>
          <w:sz w:val="22"/>
        </w:rPr>
        <w:t>Figure 2.5: Helmet Compliance and Protective Effect by Age (2018-2025)</w:t>
      </w:r>
    </w:p>
    <w:p w14:paraId="2C55F54C" w14:textId="77777777" w:rsidR="00D41392" w:rsidRDefault="004C0940">
      <w:r>
        <w:rPr>
          <w:rFonts w:ascii="Calibri" w:hAnsi="Calibri"/>
          <w:i/>
          <w:iCs/>
          <w:sz w:val="22"/>
        </w:rPr>
        <w:t>Panel a) shows helmet compliance by age; Panel b) shows injury severity with/without helmet and RR values</w:t>
      </w:r>
    </w:p>
    <w:p w14:paraId="78B03454" w14:textId="77777777" w:rsidR="00D41392" w:rsidRPr="00D64E7A" w:rsidRDefault="004C0940">
      <w:pPr>
        <w:rPr>
          <w:b/>
          <w:bCs/>
        </w:rPr>
      </w:pPr>
      <w:r>
        <w:rPr>
          <w:rFonts w:ascii="Calibri" w:hAnsi="Calibri"/>
          <w:b/>
          <w:bCs/>
          <w:sz w:val="22"/>
        </w:rPr>
        <w:t>Key observations:</w:t>
      </w:r>
    </w:p>
    <w:p w14:paraId="1AD484E9" w14:textId="77777777" w:rsidR="00D41392" w:rsidRDefault="004C0940">
      <w:pPr>
        <w:numPr>
          <w:ilvl w:val="0"/>
          <w:numId w:val="17"/>
        </w:numPr>
      </w:pPr>
      <w:r>
        <w:rPr>
          <w:rFonts w:ascii="Calibri" w:hAnsi="Calibri"/>
          <w:sz w:val="22"/>
        </w:rPr>
        <w:t>Ages 15-44 show highest protective effect (RR 3.0× - 3.3×): helmets most protective for prime riding age</w:t>
      </w:r>
    </w:p>
    <w:p w14:paraId="65FBA500" w14:textId="77777777" w:rsidR="00D41392" w:rsidRDefault="004C0940">
      <w:pPr>
        <w:numPr>
          <w:ilvl w:val="0"/>
          <w:numId w:val="17"/>
        </w:numPr>
      </w:pPr>
      <w:r>
        <w:rPr>
          <w:rFonts w:ascii="Calibri" w:hAnsi="Calibri"/>
          <w:sz w:val="22"/>
        </w:rPr>
        <w:t>Young teens (0-14) show critically low compliance (34%) despite elevated risk</w:t>
      </w:r>
    </w:p>
    <w:p w14:paraId="01F5E059" w14:textId="77777777" w:rsidR="00D41392" w:rsidRDefault="004C0940">
      <w:pPr>
        <w:numPr>
          <w:ilvl w:val="0"/>
          <w:numId w:val="17"/>
        </w:numPr>
      </w:pPr>
      <w:r>
        <w:rPr>
          <w:rFonts w:ascii="Calibri" w:hAnsi="Calibri"/>
          <w:sz w:val="22"/>
        </w:rPr>
        <w:t>Older riders (60-74) show good compliance (65%) with modest but meaningful protection (RR 1.9×)</w:t>
      </w:r>
    </w:p>
    <w:p w14:paraId="50AC66A9" w14:textId="77777777" w:rsidR="00D41392" w:rsidRPr="007E6C48" w:rsidRDefault="004C0940">
      <w:pPr>
        <w:numPr>
          <w:ilvl w:val="0"/>
          <w:numId w:val="17"/>
        </w:numPr>
      </w:pPr>
      <w:r>
        <w:rPr>
          <w:rFonts w:ascii="Calibri" w:hAnsi="Calibri"/>
          <w:sz w:val="22"/>
        </w:rPr>
        <w:t>Age 0-14 shows anomalous RR&lt;1.0, likely due to small sample (n=22) and different crash dynamics</w:t>
      </w:r>
    </w:p>
    <w:p w14:paraId="2E110003" w14:textId="2E110003" w:rsidR="00D41392" w:rsidRDefault="00D41392">
      <w:pPr>
        <w:spacing w:before="60" w:after="120"/>
      </w:pPr>
      <w:r>
        <w:rPr>
          <w:i/>
          <w:iCs/>
        </w:rPr>
        <w:t>Statistical note: individual age-group samples are too small for reliable per-group hypothesis tests. The overall known-status result (z=6.20, p&lt;0.001, n=638) is the appropriate significance test for the protective effect; the RR values by age describe where protection is strongest, not independently significant findings.</w:t>
      </w:r>
    </w:p>
    <w:p w14:paraId="2003E742" w14:textId="77777777" w:rsidR="007E6C48" w:rsidRDefault="007E6C48" w:rsidP="007E6C48">
      <w:pPr>
        <w:ind w:left="720"/>
      </w:pPr>
    </w:p>
    <w:bookmarkEnd w:id="2"/>
    <w:p w14:paraId="3A27D299" w14:textId="77777777" w:rsidR="00D41392" w:rsidRPr="00C820F0" w:rsidRDefault="004C0940" w:rsidP="00C820F0">
      <w:pPr>
        <w:pStyle w:val="Heading1"/>
        <w:spacing w:before="480" w:after="240"/>
        <w:rPr>
          <w:b/>
          <w:bCs/>
          <w:color w:val="1F4E79"/>
        </w:rPr>
      </w:pPr>
      <w:r>
        <w:rPr>
          <w:b/>
          <w:bCs/>
          <w:color w:val="1F4E79"/>
        </w:rPr>
        <w:t>3. Tel Aviv Municipal Survey Data (2019–2022)</w:t>
      </w:r>
    </w:p>
    <w:p w14:paraId="03F9EDA7" w14:textId="5D31D991" w:rsidR="00D41392" w:rsidRPr="00D64E7A" w:rsidRDefault="007E6C48" w:rsidP="007E6C48">
      <w:pPr>
        <w:spacing w:after="120"/>
        <w:rPr>
          <w:rFonts w:ascii="Calibri" w:hAnsi="Calibri"/>
          <w:sz w:val="22"/>
        </w:rPr>
      </w:pPr>
      <w:r>
        <w:rPr>
          <w:rFonts w:ascii="Calibri" w:hAnsi="Calibri"/>
          <w:sz w:val="22"/>
        </w:rPr>
        <w:t xml:space="preserve">The Tel Aviv Municipality commissioned annual surveys of shared e-scooter subscriber helmet </w:t>
      </w:r>
      <w:proofErr w:type="spellStart"/>
      <w:r>
        <w:rPr>
          <w:rFonts w:ascii="Calibri" w:hAnsi="Calibri"/>
          <w:sz w:val="22"/>
        </w:rPr>
        <w:t>behaviour</w:t>
      </w:r>
      <w:proofErr w:type="spellEnd"/>
      <w:r>
        <w:rPr>
          <w:rFonts w:ascii="Calibri" w:hAnsi="Calibri"/>
          <w:sz w:val="22"/>
        </w:rPr>
        <w:t xml:space="preserve"> from 2019 to 2022. Surveys were distributed by shared operators (Bird, Lime, Wind; and from 2022 also Dott) to registered subscribers via email. Private e-scooter owners are entirely excluded. Sample sizes are published for 2021 (N≈2,000) and 2022 (N=1,875); figures for 2019–2020 are not available. Because surveys capture all riders regardless of crash involvement, they provide the best available estimate of general population compliance — a population CBS crash data cannot directly access.</w:t>
      </w:r>
    </w:p>
    <w:p w14:paraId="1B16B8A1" w14:textId="77777777" w:rsidR="00222FAC" w:rsidRPr="00D64E7A" w:rsidRDefault="00222FAC" w:rsidP="007E6C48">
      <w:pPr>
        <w:rPr>
          <w:rFonts w:ascii="Calibri" w:hAnsi="Calibri"/>
          <w:sz w:val="22"/>
        </w:rPr>
      </w:pPr>
    </w:p>
    <w:p w14:paraId="261ECA74" w14:textId="3CAC24CF" w:rsidR="00D41392" w:rsidRDefault="004C0940" w:rsidP="00C820F0">
      <w:pPr>
        <w:pStyle w:val="Heading2"/>
      </w:pPr>
      <w:bookmarkStart w:id="3" w:name="helmet-use-frequency-table-3.1"/>
      <w:r>
        <w:t>3.1 Helmet Use Frequency over years</w:t>
      </w:r>
    </w:p>
    <w:p w14:paraId="599EDBB0" w14:textId="614B7939" w:rsidR="00222FAC" w:rsidRDefault="00222FAC" w:rsidP="00222FAC">
      <w:r>
        <w:rPr>
          <w:b/>
          <w:bCs/>
        </w:rPr>
        <w:t>Table 3</w:t>
      </w:r>
      <w:r>
        <w:t>: Self-Reported Helmet Compliance (Tel Aviv Surveys 2019-2022, N=1,875)</w:t>
      </w:r>
    </w:p>
    <w:tbl>
      <w:tblPr>
        <w:tblW w:w="4915" w:type="pct"/>
        <w:tblLook w:val="0000" w:firstRow="0" w:lastRow="0" w:firstColumn="0" w:lastColumn="0" w:noHBand="0" w:noVBand="0"/>
      </w:tblPr>
      <w:tblGrid>
        <w:gridCol w:w="622"/>
        <w:gridCol w:w="1543"/>
        <w:gridCol w:w="786"/>
        <w:gridCol w:w="682"/>
        <w:gridCol w:w="1124"/>
        <w:gridCol w:w="727"/>
        <w:gridCol w:w="705"/>
        <w:gridCol w:w="2996"/>
      </w:tblGrid>
      <w:tr w:rsidR="00D41392" w14:paraId="17CDF236"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F9DAA9B" w14:textId="77777777" w:rsidR="00D41392" w:rsidRDefault="004C094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EA6EBCD" w14:textId="77777777" w:rsidR="00D41392" w:rsidRDefault="004C0940">
            <w:r>
              <w:rPr>
                <w:rFonts w:ascii="Calibri" w:hAnsi="Calibri"/>
                <w:color w:val="FFFFFF"/>
              </w:rPr>
              <w:t>Source</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4B0FC1B" w14:textId="77777777" w:rsidR="00D41392" w:rsidRDefault="004C0940">
            <w:r>
              <w:rPr>
                <w:rFonts w:ascii="Calibri" w:hAnsi="Calibri"/>
                <w:color w:val="FFFFFF"/>
              </w:rPr>
              <w:t>Always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4C4492F" w14:textId="77777777" w:rsidR="00D41392" w:rsidRDefault="004C0940">
            <w:r>
              <w:rPr>
                <w:rFonts w:ascii="Calibri" w:hAnsi="Calibri"/>
                <w:color w:val="FFFFFF"/>
              </w:rPr>
              <w:t>Often</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93884D0" w14:textId="77777777" w:rsidR="00D41392" w:rsidRDefault="004C0940">
            <w:r>
              <w:rPr>
                <w:rFonts w:ascii="Calibri" w:hAnsi="Calibri"/>
                <w:color w:val="FFFFFF"/>
              </w:rPr>
              <w:t>Sometimes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84BF940" w14:textId="77777777" w:rsidR="00D41392" w:rsidRDefault="004C0940">
            <w:r>
              <w:rPr>
                <w:rFonts w:ascii="Calibri" w:hAnsi="Calibri"/>
                <w:color w:val="FFFFFF"/>
              </w:rPr>
              <w:t>Rarely</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5A5F659" w14:textId="77777777" w:rsidR="00D41392" w:rsidRDefault="004C0940">
            <w:r>
              <w:rPr>
                <w:rFonts w:ascii="Calibri" w:hAnsi="Calibri"/>
                <w:color w:val="FFFFFF"/>
              </w:rPr>
              <w:t>Never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AE895F8" w14:textId="77777777" w:rsidR="00D41392" w:rsidRDefault="004C0940">
            <w:r>
              <w:rPr>
                <w:rFonts w:ascii="Calibri" w:hAnsi="Calibri"/>
                <w:color w:val="FFFFFF"/>
              </w:rPr>
              <w:t>Interpretation</w:t>
            </w:r>
          </w:p>
        </w:tc>
      </w:tr>
      <w:tr w:rsidR="00D41392" w14:paraId="6341D7B9" w14:textId="77777777">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2D1AE0D" w14:textId="77777777" w:rsidR="00D41392" w:rsidRDefault="004C0940">
            <w:r>
              <w:rPr>
                <w:rFonts w:ascii="Calibri" w:hAnsi="Calibri"/>
              </w:rPr>
              <w:t>2019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10EF78C" w14:textId="77777777" w:rsidR="00D41392" w:rsidRDefault="004C0940">
            <w:r>
              <w:rPr>
                <w:rFonts w:ascii="Calibri" w:hAnsi="Calibri"/>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463B92FF" w14:textId="77777777" w:rsidR="00D41392" w:rsidRDefault="004C0940">
            <w:r>
              <w:rPr>
                <w:rFonts w:ascii="Calibri" w:hAnsi="Calibri"/>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76831201" w14:textId="77777777" w:rsidR="00D41392" w:rsidRDefault="004C094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D56BA9C" w14:textId="77777777" w:rsidR="00D41392" w:rsidRDefault="004C094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341AB18" w14:textId="77777777" w:rsidR="00D41392" w:rsidRDefault="004C094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94D88F1" w14:textId="77777777" w:rsidR="00D41392" w:rsidRDefault="004C0940">
            <w:r>
              <w:rPr>
                <w:rFonts w:ascii="Calibri" w:hAnsi="Calibri"/>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E8B5B7F" w14:textId="77777777" w:rsidR="00D41392" w:rsidRDefault="004C0940">
            <w:r>
              <w:rPr>
                <w:rFonts w:ascii="Calibri" w:hAnsi="Calibri"/>
              </w:rPr>
              <w:t>Pre-law baseline (law enacted January 1, 2019)</w:t>
            </w:r>
          </w:p>
        </w:tc>
      </w:tr>
      <w:tr w:rsidR="00D41392" w14:paraId="20B18571"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FFDC413" w14:textId="77777777" w:rsidR="00D41392" w:rsidRDefault="004C0940">
            <w:r>
              <w:rPr>
                <w:rFonts w:ascii="Calibri" w:hAnsi="Calibri"/>
                <w:color w:val="1F4E79"/>
              </w:rPr>
              <w:lastRenderedPageBreak/>
              <w:t>2020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557EE02" w14:textId="77777777" w:rsidR="00D41392" w:rsidRDefault="004C094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952AC27" w14:textId="77777777" w:rsidR="00D41392" w:rsidRDefault="004C0940">
            <w:r>
              <w:rPr>
                <w:rFonts w:ascii="Calibri" w:hAnsi="Calibri"/>
                <w:color w:val="1F4E79"/>
              </w:rPr>
              <w:t>35%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3A31D87" w14:textId="77777777" w:rsidR="00D41392" w:rsidRDefault="004C0940">
            <w:r>
              <w:rPr>
                <w:rFonts w:ascii="Calibri" w:hAnsi="Calibri"/>
                <w:color w:val="1F4E79"/>
              </w:rPr>
              <w:t>16%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3B070DA" w14:textId="77777777" w:rsidR="00D41392" w:rsidRDefault="004C0940">
            <w:r>
              <w:rPr>
                <w:rFonts w:ascii="Calibri" w:hAnsi="Calibri"/>
                <w:color w:val="1F4E79"/>
              </w:rPr>
              <w:t>13%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2E62680" w14:textId="77777777" w:rsidR="00D41392" w:rsidRDefault="004C0940">
            <w:r>
              <w:rPr>
                <w:rFonts w:ascii="Calibri" w:hAnsi="Calibri"/>
                <w:color w:val="1F4E79"/>
              </w:rPr>
              <w:t>12%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25FC509" w14:textId="77777777" w:rsidR="00D41392" w:rsidRDefault="004C0940">
            <w:r>
              <w:rPr>
                <w:rFonts w:ascii="Calibri" w:hAnsi="Calibri"/>
                <w:color w:val="1F4E79"/>
              </w:rPr>
              <w:t>25%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169726" w14:textId="77777777" w:rsidR="00D41392" w:rsidRDefault="004C0940">
            <w:r>
              <w:rPr>
                <w:rFonts w:ascii="Calibri" w:hAnsi="Calibri"/>
                <w:color w:val="1F4E79"/>
              </w:rPr>
              <w:t>Law1 period (250₪ fine); improvement during COVID</w:t>
            </w:r>
          </w:p>
        </w:tc>
      </w:tr>
      <w:tr w:rsidR="00D41392" w14:paraId="61738E4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559049C" w14:textId="77777777" w:rsidR="00D41392" w:rsidRDefault="004C0940">
            <w:r>
              <w:rPr>
                <w:rFonts w:ascii="Calibri" w:hAnsi="Calibri"/>
                <w:color w:val="1F4E79"/>
              </w:rPr>
              <w:t>2021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312B63A" w14:textId="77777777" w:rsidR="00D41392" w:rsidRDefault="004C094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FE5BBF2" w14:textId="77777777" w:rsidR="00D41392" w:rsidRDefault="004C0940">
            <w:r>
              <w:rPr>
                <w:rFonts w:ascii="Calibri" w:hAnsi="Calibri"/>
                <w:color w:val="1F4E79"/>
              </w:rPr>
              <w:t>33%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B67E377" w14:textId="77777777" w:rsidR="00D41392" w:rsidRDefault="004C0940">
            <w:r>
              <w:rPr>
                <w:rFonts w:ascii="Calibri" w:hAnsi="Calibri"/>
                <w:color w:val="1F4E79"/>
              </w:rPr>
              <w:t>19%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B8E410B" w14:textId="77777777" w:rsidR="00D41392" w:rsidRDefault="004C0940">
            <w:r>
              <w:rPr>
                <w:rFonts w:ascii="Calibri" w:hAnsi="Calibri"/>
                <w:color w:val="1F4E79"/>
              </w:rPr>
              <w:t>14%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B6223BA" w14:textId="77777777" w:rsidR="00D41392" w:rsidRDefault="004C0940">
            <w:r>
              <w:rPr>
                <w:rFonts w:ascii="Calibri" w:hAnsi="Calibri"/>
                <w:color w:val="1F4E79"/>
              </w:rPr>
              <w:t>14%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018383" w14:textId="77777777" w:rsidR="00D41392" w:rsidRDefault="004C0940">
            <w:r>
              <w:rPr>
                <w:rFonts w:ascii="Calibri" w:hAnsi="Calibri"/>
                <w:color w:val="1F4E79"/>
              </w:rPr>
              <w:t>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81F3CFC" w14:textId="107E5B9A" w:rsidR="00D41392" w:rsidRDefault="004C0940">
            <w:r>
              <w:rPr>
                <w:rFonts w:ascii="Calibri" w:hAnsi="Calibri"/>
                <w:color w:val="1F4E79"/>
              </w:rPr>
              <w:t>Law1 period (250₪ fine); N=2,000</w:t>
            </w:r>
          </w:p>
        </w:tc>
      </w:tr>
      <w:tr w:rsidR="00D41392" w14:paraId="69595195"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9250D16" w14:textId="77777777" w:rsidR="00D41392" w:rsidRDefault="004C0940">
            <w:r>
              <w:rPr>
                <w:rFonts w:ascii="Calibri" w:hAnsi="Calibri"/>
                <w:color w:val="1F4E79"/>
              </w:rPr>
              <w:t>2022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D73C4AF" w14:textId="77777777" w:rsidR="00D41392" w:rsidRDefault="004C094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D4D3030" w14:textId="77777777" w:rsidR="00D41392" w:rsidRDefault="004C0940">
            <w:r>
              <w:rPr>
                <w:rFonts w:ascii="Calibri" w:hAnsi="Calibri"/>
                <w:color w:val="1F4E79"/>
              </w:rPr>
              <w:t>52%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53E6746" w14:textId="77777777" w:rsidR="00D41392" w:rsidRDefault="004C094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60CA6FF" w14:textId="77777777" w:rsidR="00D41392" w:rsidRDefault="004C0940">
            <w:r>
              <w:rPr>
                <w:rFonts w:ascii="Calibri" w:hAnsi="Calibri"/>
                <w:color w:val="1F4E79"/>
              </w:rPr>
              <w:t>28%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E6F51CF" w14:textId="77777777" w:rsidR="00D41392" w:rsidRDefault="004C094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FA275D9" w14:textId="77777777" w:rsidR="00D41392" w:rsidRDefault="004C0940">
            <w:r>
              <w:rPr>
                <w:rFonts w:ascii="Calibri" w:hAnsi="Calibri"/>
                <w:color w:val="1F4E79"/>
              </w:rPr>
              <w:t>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68FE537" w14:textId="77777777" w:rsidR="00D41392" w:rsidRDefault="004C0940">
            <w:r>
              <w:rPr>
                <w:rFonts w:ascii="Calibri" w:hAnsi="Calibri"/>
                <w:color w:val="1F4E79"/>
              </w:rPr>
              <w:t>Law2 period (1,000₪ fine increased in January); N=1,875</w:t>
            </w:r>
          </w:p>
        </w:tc>
      </w:tr>
    </w:tbl>
    <w:p w14:paraId="6DC34999" w14:textId="77777777" w:rsidR="005E22EB" w:rsidRDefault="005E22EB" w:rsidP="00534D07">
      <w:pPr>
        <w:jc w:val="center"/>
        <w:rPr>
          <w:rFonts w:ascii="Calibri" w:hAnsi="Calibri"/>
          <w:sz w:val="22"/>
        </w:rPr>
      </w:pPr>
    </w:p>
    <w:p w14:paraId="6DBAD959" w14:textId="2DFD6974" w:rsidR="00534D07" w:rsidRDefault="00534D07" w:rsidP="00534D07">
      <w:pPr>
        <w:jc w:val="center"/>
        <w:rPr>
          <w:rFonts w:ascii="Calibri" w:hAnsi="Calibri"/>
          <w:b/>
          <w:bCs/>
          <w:sz w:val="22"/>
        </w:rPr>
      </w:pPr>
      <w:r>
        <w:rPr>
          <w:rFonts w:ascii="Calibri" w:hAnsi="Calibri"/>
          <w:b/>
          <w:bCs/>
          <w:sz w:val="22"/>
        </w:rPr>
        <w:t>“Always” vs “Never” helmet use, Tel Aviv e-scooter subscribers 2019-2022. Post-law trend.</w:t>
      </w:r>
    </w:p>
    <w:p w14:paraId="0548DB34" w14:textId="77777777" w:rsidR="00534D07" w:rsidRDefault="00534D07" w:rsidP="00801755"/>
    <w:p w14:paraId="525732FB" w14:textId="77777777" w:rsidR="00534D07" w:rsidRDefault="00534D07" w:rsidP="00534D07">
      <w:pPr>
        <w:jc w:val="center"/>
      </w:pPr>
    </w:p>
    <w:p w14:paraId="229BC2D5" w14:textId="37162872" w:rsidR="00D41392" w:rsidRDefault="00534D07" w:rsidP="00534D07">
      <w:pPr>
        <w:jc w:val="center"/>
      </w:pPr>
      <w:r>
        <w:rPr>
          <w:noProof/>
        </w:rPr>
        <w:drawing>
          <wp:inline distT="0" distB="0" distL="0" distR="0" wp14:anchorId="681A8124" wp14:editId="4066B6B7">
            <wp:extent cx="4006850" cy="2368550"/>
            <wp:effectExtent l="0" t="0" r="0" b="0"/>
            <wp:docPr id="20884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0960" name=""/>
                    <pic:cNvPicPr/>
                  </pic:nvPicPr>
                  <pic:blipFill>
                    <a:blip r:embed="rId12"/>
                    <a:stretch>
                      <a:fillRect/>
                    </a:stretch>
                  </pic:blipFill>
                  <pic:spPr>
                    <a:xfrm>
                      <a:off x="0" y="0"/>
                      <a:ext cx="4006850" cy="2368550"/>
                    </a:xfrm>
                    <a:prstGeom prst="rect">
                      <a:avLst/>
                    </a:prstGeom>
                  </pic:spPr>
                </pic:pic>
              </a:graphicData>
            </a:graphic>
          </wp:inline>
        </w:drawing>
      </w:r>
    </w:p>
    <w:p w14:paraId="51447422" w14:textId="77777777" w:rsidR="00534D07" w:rsidRDefault="00534D07" w:rsidP="00534D07">
      <w:pPr>
        <w:jc w:val="center"/>
        <w:rPr>
          <w:rFonts w:ascii="Calibri" w:hAnsi="Calibri"/>
          <w:b/>
          <w:bCs/>
          <w:sz w:val="22"/>
        </w:rPr>
      </w:pPr>
    </w:p>
    <w:p w14:paraId="7DD433E2" w14:textId="29058EED" w:rsidR="00534D07" w:rsidRPr="00534D07" w:rsidRDefault="00534D07" w:rsidP="00534D07">
      <w:pPr>
        <w:jc w:val="center"/>
        <w:rPr>
          <w:rFonts w:ascii="Calibri" w:hAnsi="Calibri"/>
          <w:i/>
          <w:iCs/>
          <w:sz w:val="22"/>
        </w:rPr>
      </w:pPr>
      <w:r>
        <w:rPr>
          <w:rFonts w:ascii="Calibri" w:hAnsi="Calibri"/>
          <w:i/>
          <w:iCs/>
          <w:sz w:val="22"/>
        </w:rPr>
        <w:t>Figure 3.1: ‘Always’ vs ‘Never’ helmet use, Tel Aviv shared e-scooter subscribers, 2019–2022.</w:t>
      </w:r>
    </w:p>
    <w:p w14:paraId="2E110001" w14:textId="2E110001" w:rsidR="00D41392" w:rsidRDefault="00D41392">
      <w:pPr>
        <w:spacing w:after="120"/>
      </w:pPr>
      <w:r>
        <w:t>The gap between the two lines narrows sharply after the law’s enactment. In 2019, ‘always’ (22%) trailed ‘never’ (45%) by 23 percentage points. By 2021 the gap had closed to 13 points (33% vs 20%), and by 2022 the lines had crossed and reversed: ‘always’ (52%) exceeded ‘never’ (20%) by 32 points. The crossover between ‘always’ overtaking ‘never’ occurred between 2020 and 2021 — the first full year the law was in force.</w:t>
      </w:r>
    </w:p>
    <w:p w14:paraId="0DB0C6B3" w14:textId="77777777" w:rsidR="007E6C48" w:rsidRDefault="007E6C48"/>
    <w:bookmarkEnd w:id="3"/>
    <w:p w14:paraId="04C65F6E" w14:textId="7A69BC55" w:rsidR="00D41392" w:rsidRPr="00342DFD" w:rsidRDefault="004C0940" w:rsidP="00C820F0">
      <w:pPr>
        <w:pStyle w:val="Heading2"/>
      </w:pPr>
      <w:r>
        <w:t>3.2 Operator-Provided Helmet Usage</w:t>
      </w:r>
    </w:p>
    <w:p w14:paraId="2A3F8C71" w14:textId="77777777" w:rsidR="00222FAC" w:rsidRDefault="00222FAC" w:rsidP="00222FAC">
      <w:r>
        <w:rPr>
          <w:b/>
          <w:bCs/>
        </w:rPr>
        <w:t>Table 4</w:t>
      </w:r>
      <w:r>
        <w:t>: Operator-Provided Helmet Usage (Tel Aviv Surveys 2021–2022)</w:t>
      </w:r>
    </w:p>
    <w:tbl>
      <w:tblPr>
        <w:tblW w:w="4919" w:type="pct"/>
        <w:tblLook w:val="0000" w:firstRow="0" w:lastRow="0" w:firstColumn="0" w:lastColumn="0" w:noHBand="0" w:noVBand="0"/>
      </w:tblPr>
      <w:tblGrid>
        <w:gridCol w:w="2622"/>
        <w:gridCol w:w="1551"/>
        <w:gridCol w:w="1729"/>
        <w:gridCol w:w="3291"/>
      </w:tblGrid>
      <w:tr w:rsidR="00D41392" w14:paraId="6619C6EA"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947AE51" w14:textId="77777777" w:rsidR="00D41392" w:rsidRDefault="004C0940">
            <w:r>
              <w:rPr>
                <w:rFonts w:ascii="Calibri" w:hAnsi="Calibri"/>
                <w:color w:val="FFFFFF"/>
              </w:rPr>
              <w:t>Item</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DF72B79" w14:textId="77777777" w:rsidR="00D41392" w:rsidRDefault="004C0940">
            <w:r>
              <w:rPr>
                <w:rFonts w:ascii="Calibri" w:hAnsi="Calibri"/>
                <w:color w:val="FFFFFF"/>
              </w:rPr>
              <w:t>2021 (N≈2,000)</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E4B96D3" w14:textId="77777777" w:rsidR="00D41392" w:rsidRDefault="004C0940">
            <w:r>
              <w:rPr>
                <w:rFonts w:ascii="Calibri" w:hAnsi="Calibri"/>
                <w:color w:val="FFFFFF"/>
              </w:rPr>
              <w:t>2022 (N=1,875)</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4E5FCA2" w14:textId="77777777" w:rsidR="00D41392" w:rsidRDefault="004C0940">
            <w:r>
              <w:rPr>
                <w:rFonts w:ascii="Calibri" w:hAnsi="Calibri"/>
                <w:color w:val="FFFFFF"/>
              </w:rPr>
              <w:t>Note</w:t>
            </w:r>
          </w:p>
        </w:tc>
      </w:tr>
      <w:tr w:rsidR="00D41392" w14:paraId="0B104A2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5F0E6B6" w14:textId="77777777" w:rsidR="00D41392" w:rsidRDefault="004C0940">
            <w:r>
              <w:rPr>
                <w:rFonts w:ascii="Calibri" w:hAnsi="Calibri"/>
              </w:rPr>
              <w:t>Used operator helmet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5CF9695" w14:textId="77777777" w:rsidR="00D41392" w:rsidRDefault="004C0940">
            <w:r>
              <w:rPr>
                <w:rFonts w:ascii="Calibri" w:hAnsi="Calibri"/>
              </w:rPr>
              <w:t>43% yes; 57% 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7D08A07" w14:textId="77777777" w:rsidR="00D41392" w:rsidRDefault="004C0940">
            <w:r>
              <w:rPr>
                <w:rFonts w:ascii="Calibri" w:hAnsi="Calibri"/>
              </w:rPr>
              <w:t>Frequency question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64BF559" w14:textId="77777777" w:rsidR="00D41392" w:rsidRDefault="004C0940">
            <w:r>
              <w:rPr>
                <w:rFonts w:ascii="Calibri" w:hAnsi="Calibri"/>
              </w:rPr>
              <w:t>Mandatory from Jan 2021</w:t>
            </w:r>
          </w:p>
        </w:tc>
      </w:tr>
      <w:tr w:rsidR="00D41392" w14:paraId="4465B27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F86B98" w14:textId="77777777" w:rsidR="00D41392" w:rsidRDefault="004C0940">
            <w:r>
              <w:rPr>
                <w:rFonts w:ascii="Calibri" w:hAnsi="Calibri"/>
              </w:rPr>
              <w:t>Main barrier: hygiene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77446202" w14:textId="77777777" w:rsidR="00D41392" w:rsidRDefault="004C0940">
            <w:r>
              <w:rPr>
                <w:rFonts w:ascii="Calibri" w:hAnsi="Calibri"/>
              </w:rPr>
              <w:t>51%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570E4FC" w14:textId="77777777" w:rsidR="00D41392" w:rsidRDefault="004C0940">
            <w:r>
              <w:rPr>
                <w:rFonts w:ascii="Calibri" w:hAnsi="Calibri"/>
              </w:rPr>
              <w:t>42%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70D4D92" w14:textId="77777777" w:rsidR="00D41392" w:rsidRDefault="004C0940">
            <w:r>
              <w:rPr>
                <w:rFonts w:ascii="Calibri" w:hAnsi="Calibri"/>
              </w:rPr>
              <w:t>Declining but persistent</w:t>
            </w:r>
          </w:p>
        </w:tc>
      </w:tr>
      <w:tr w:rsidR="00D41392" w14:paraId="63F3C11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C7BF2DF" w14:textId="77777777" w:rsidR="00D41392" w:rsidRDefault="004C0940">
            <w:r>
              <w:rPr>
                <w:rFonts w:ascii="Calibri" w:hAnsi="Calibri"/>
              </w:rPr>
              <w:t>Has own personal helmet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21099D" w14:textId="77777777" w:rsidR="00D41392" w:rsidRDefault="004C0940">
            <w:r>
              <w:rPr>
                <w:rFonts w:ascii="Calibri" w:hAnsi="Calibri"/>
              </w:rPr>
              <w:t>28%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07A9325" w14:textId="77777777" w:rsidR="00D41392" w:rsidRDefault="004C0940">
            <w:r>
              <w:rPr>
                <w:rFonts w:ascii="Calibri" w:hAnsi="Calibri"/>
              </w:rPr>
              <w:t>50%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96BB460" w14:textId="77777777" w:rsidR="00D41392" w:rsidRDefault="004C0940">
            <w:r>
              <w:rPr>
                <w:rFonts w:ascii="Calibri" w:hAnsi="Calibri"/>
              </w:rPr>
              <w:t>Sharp rise — personal ownership growing</w:t>
            </w:r>
          </w:p>
        </w:tc>
      </w:tr>
      <w:tr w:rsidR="00D41392" w14:paraId="2FE10A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9432649" w14:textId="77777777" w:rsidR="00D41392" w:rsidRDefault="004C0940">
            <w:r>
              <w:rPr>
                <w:rFonts w:ascii="Calibri" w:hAnsi="Calibri"/>
              </w:rPr>
              <w:t>Helmet has no value / doesn't fit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0208853" w14:textId="77777777" w:rsidR="00D41392" w:rsidRDefault="004C0940">
            <w:r>
              <w:rPr>
                <w:rFonts w:ascii="Calibri" w:hAnsi="Calibri"/>
              </w:rPr>
              <w:t>11%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B1AAEC5" w14:textId="77777777" w:rsidR="00D41392" w:rsidRDefault="004C094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9AF9483" w14:textId="77777777" w:rsidR="00D41392" w:rsidRDefault="004C0940">
            <w:r>
              <w:rPr>
                <w:rFonts w:ascii="Calibri" w:hAnsi="Calibri"/>
              </w:rPr>
              <w:t>Not reported in 2022</w:t>
            </w:r>
          </w:p>
        </w:tc>
      </w:tr>
    </w:tbl>
    <w:p w14:paraId="2E110002" w14:textId="2E110002" w:rsidR="00D41392" w:rsidRDefault="00D41392">
      <w:pPr>
        <w:spacing w:after="120"/>
      </w:pPr>
      <w:r>
        <w:t>The doubling of personal helmet ownership (28% → 50%) among non-users of operator helmets between 2021 and 2022 is the clearest evidence that the law drove durable behavioral change: riders acquired their own helmets rather than relying on operator supply, suggesting internalization of the norm rather than deterrence-only compliance.</w:t>
      </w:r>
    </w:p>
    <w:p w14:paraId="1078A434" w14:textId="591D8217" w:rsidR="00D41392" w:rsidRDefault="004C0940" w:rsidP="00C820F0">
      <w:pPr>
        <w:pStyle w:val="Heading2"/>
      </w:pPr>
      <w:r>
        <w:t>3.3 Respondent Demographics</w:t>
      </w:r>
    </w:p>
    <w:p w14:paraId="3B4E9D82" w14:textId="77777777" w:rsidR="00222FAC" w:rsidRDefault="00222FAC" w:rsidP="00222FAC">
      <w:r>
        <w:rPr>
          <w:b/>
          <w:bCs/>
        </w:rPr>
        <w:t>Table 5</w:t>
      </w:r>
      <w:r>
        <w:t>: Respondent Demographics: Shared E-Scooter Subscribers vs General Population (2021–2022)</w:t>
      </w:r>
    </w:p>
    <w:tbl>
      <w:tblPr>
        <w:tblW w:w="4881" w:type="pct"/>
        <w:tblLook w:val="0000" w:firstRow="0" w:lastRow="0" w:firstColumn="0" w:lastColumn="0" w:noHBand="0" w:noVBand="0"/>
      </w:tblPr>
      <w:tblGrid>
        <w:gridCol w:w="2182"/>
        <w:gridCol w:w="2604"/>
        <w:gridCol w:w="2168"/>
        <w:gridCol w:w="2168"/>
      </w:tblGrid>
      <w:tr w:rsidR="00D41392" w14:paraId="6CE18909"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7F40082C" w14:textId="77777777" w:rsidR="00D41392" w:rsidRDefault="004C0940">
            <w:r>
              <w:rPr>
                <w:rFonts w:ascii="Calibri" w:hAnsi="Calibri"/>
                <w:color w:val="FFFFFF"/>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6868368" w14:textId="77777777" w:rsidR="00D41392" w:rsidRDefault="004C0940">
            <w:r>
              <w:rPr>
                <w:rFonts w:ascii="Calibri" w:hAnsi="Calibri"/>
                <w:color w:val="FFFFFF"/>
              </w:rPr>
              <w:t>Population (CBS 15+)</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16C1DB4" w14:textId="77777777" w:rsidR="00D41392" w:rsidRDefault="004C0940">
            <w:r>
              <w:rPr>
                <w:rFonts w:ascii="Calibri" w:hAnsi="Calibri"/>
                <w:color w:val="FFFFFF"/>
              </w:rPr>
              <w:t>Subscribers 2021</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2BBC2B9A" w14:textId="77777777" w:rsidR="00D41392" w:rsidRDefault="004C0940">
            <w:r>
              <w:rPr>
                <w:rFonts w:ascii="Calibri" w:hAnsi="Calibri"/>
                <w:color w:val="FFFFFF"/>
              </w:rPr>
              <w:t>Subscribers 2022</w:t>
            </w:r>
          </w:p>
        </w:tc>
      </w:tr>
      <w:tr w:rsidR="00D41392" w14:paraId="1E4B21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3531EA9" w14:textId="77777777" w:rsidR="00D41392" w:rsidRDefault="004C0940">
            <w:r>
              <w:rPr>
                <w:rFonts w:ascii="Calibri" w:hAnsi="Calibri"/>
              </w:rPr>
              <w:t>Gender: Male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6CC0958" w14:textId="77777777" w:rsidR="00D41392" w:rsidRDefault="004C094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C8F478B" w14:textId="77777777" w:rsidR="00D41392" w:rsidRDefault="004C0940">
            <w:r>
              <w:rPr>
                <w:rFonts w:ascii="Calibri" w:hAnsi="Calibri"/>
              </w:rPr>
              <w:t>82%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FB8596A" w14:textId="77777777" w:rsidR="00D41392" w:rsidRDefault="004C0940">
            <w:r>
              <w:rPr>
                <w:rFonts w:ascii="Calibri" w:hAnsi="Calibri"/>
              </w:rPr>
              <w:t>80%</w:t>
            </w:r>
          </w:p>
        </w:tc>
      </w:tr>
      <w:tr w:rsidR="00D41392" w14:paraId="0892FFD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33E19FA" w14:textId="77777777" w:rsidR="00D41392" w:rsidRDefault="004C0940">
            <w:r>
              <w:rPr>
                <w:rFonts w:ascii="Calibri" w:hAnsi="Calibri"/>
              </w:rPr>
              <w:lastRenderedPageBreak/>
              <w:t>Gender: Female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07753E7" w14:textId="77777777" w:rsidR="00D41392" w:rsidRDefault="004C094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CDA94B8" w14:textId="77777777" w:rsidR="00D41392" w:rsidRDefault="004C0940">
            <w:r>
              <w:rPr>
                <w:rFonts w:ascii="Calibri" w:hAnsi="Calibri"/>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8881B7B" w14:textId="6C359F11" w:rsidR="00D41392" w:rsidRDefault="004C0940">
            <w:r>
              <w:rPr>
                <w:rFonts w:ascii="Calibri" w:hAnsi="Calibri"/>
              </w:rPr>
              <w:t>∼20%</w:t>
            </w:r>
          </w:p>
        </w:tc>
      </w:tr>
      <w:tr w:rsidR="00D41392" w14:paraId="77A88D9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6DEA39" w14:textId="77777777" w:rsidR="00D41392" w:rsidRDefault="004C0940">
            <w:r>
              <w:rPr>
                <w:rFonts w:ascii="Calibri" w:hAnsi="Calibri"/>
              </w:rPr>
              <w:t>Age: Up to 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5BF3DA3" w14:textId="77777777" w:rsidR="00D41392" w:rsidRDefault="004C0940">
            <w:r>
              <w:rPr>
                <w:rFonts w:ascii="Calibri" w:hAnsi="Calibri"/>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4AC6126" w14:textId="77777777" w:rsidR="00D41392" w:rsidRDefault="004C0940">
            <w:r>
              <w:rPr>
                <w:rFonts w:ascii="Calibri" w:hAnsi="Calibri"/>
              </w:rPr>
              <w:t>34%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417947E" w14:textId="77777777" w:rsidR="00D41392" w:rsidRDefault="004C0940">
            <w:r>
              <w:rPr>
                <w:rFonts w:ascii="Calibri" w:hAnsi="Calibri"/>
              </w:rPr>
              <w:t>33%</w:t>
            </w:r>
          </w:p>
        </w:tc>
      </w:tr>
      <w:tr w:rsidR="00D41392" w14:paraId="61C6950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84E0387" w14:textId="77777777" w:rsidR="00D41392" w:rsidRDefault="004C0940">
            <w:r>
              <w:rPr>
                <w:rFonts w:ascii="Calibri" w:hAnsi="Calibri"/>
              </w:rPr>
              <w:t>Age: 30–39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3EA01C7" w14:textId="77777777" w:rsidR="00D41392" w:rsidRDefault="004C0940">
            <w:r>
              <w:rPr>
                <w:rFonts w:ascii="Calibri" w:hAnsi="Calibri"/>
              </w:rPr>
              <w:t>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352D774" w14:textId="77777777" w:rsidR="00D41392" w:rsidRDefault="004C0940">
            <w:r>
              <w:rPr>
                <w:rFonts w:ascii="Calibri" w:hAnsi="Calibri"/>
              </w:rPr>
              <w:t>37%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5C2064C4" w14:textId="77777777" w:rsidR="00D41392" w:rsidRDefault="004C0940">
            <w:r>
              <w:rPr>
                <w:rFonts w:ascii="Calibri" w:hAnsi="Calibri"/>
              </w:rPr>
              <w:t>34%</w:t>
            </w:r>
          </w:p>
        </w:tc>
      </w:tr>
      <w:tr w:rsidR="00D41392" w14:paraId="1CF8932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A5142D5" w14:textId="77777777" w:rsidR="00D41392" w:rsidRDefault="004C0940">
            <w:r>
              <w:rPr>
                <w:rFonts w:ascii="Calibri" w:hAnsi="Calibri"/>
              </w:rPr>
              <w:t>Age: 40–59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A7DABD0" w14:textId="77777777" w:rsidR="00D41392" w:rsidRDefault="004C0940">
            <w:r>
              <w:rPr>
                <w:rFonts w:ascii="Calibri" w:hAnsi="Calibri"/>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2351A84" w14:textId="77777777" w:rsidR="00D41392" w:rsidRDefault="004C0940">
            <w:r>
              <w:rPr>
                <w:rFonts w:ascii="Calibri" w:hAnsi="Calibri"/>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A46E629" w14:textId="77777777" w:rsidR="00D41392" w:rsidRDefault="004C0940">
            <w:r>
              <w:rPr>
                <w:rFonts w:ascii="Calibri" w:hAnsi="Calibri"/>
              </w:rPr>
              <w:t>29%</w:t>
            </w:r>
          </w:p>
        </w:tc>
      </w:tr>
      <w:tr w:rsidR="00D41392" w14:paraId="5FD50F4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73325DA" w14:textId="77777777" w:rsidR="00D41392" w:rsidRDefault="004C0940">
            <w:r>
              <w:rPr>
                <w:rFonts w:ascii="Calibri" w:hAnsi="Calibri"/>
              </w:rPr>
              <w:t>Age: 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503FE360" w14:textId="77777777" w:rsidR="00D41392" w:rsidRDefault="004C0940">
            <w:r>
              <w:rPr>
                <w:rFonts w:ascii="Calibri" w:hAnsi="Calibri"/>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E02C925" w14:textId="77777777" w:rsidR="00D41392" w:rsidRDefault="004C0940">
            <w:r>
              <w:rPr>
                <w:rFonts w:ascii="Calibri" w:hAnsi="Calibri"/>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BEB602B" w14:textId="77777777" w:rsidR="00D41392" w:rsidRDefault="004C0940">
            <w:r>
              <w:rPr>
                <w:rFonts w:ascii="Calibri" w:hAnsi="Calibri"/>
              </w:rPr>
              <w:t>4%</w:t>
            </w:r>
          </w:p>
        </w:tc>
      </w:tr>
      <w:tr w:rsidR="00D41392" w14:paraId="4BA1946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BB8502B" w14:textId="77777777" w:rsidR="00D41392" w:rsidRDefault="004C0940">
            <w:r>
              <w:rPr>
                <w:rFonts w:ascii="Calibri" w:hAnsi="Calibri"/>
              </w:rPr>
              <w:t>Lives in Tel Aviv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8E843A2" w14:textId="77777777" w:rsidR="00D41392" w:rsidRDefault="004C0940">
            <w:r>
              <w:rPr>
                <w:rFonts w:ascii="Calibri" w:hAnsi="Calibri"/>
              </w:rPr>
              <w:t>73% (2019)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17778AA" w14:textId="77777777" w:rsidR="00D41392" w:rsidRDefault="004C0940">
            <w:r>
              <w:rPr>
                <w:rFonts w:ascii="Calibri" w:hAnsi="Calibri"/>
              </w:rPr>
              <w:t>69% (2021)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F5CF14B" w14:textId="77777777" w:rsidR="00D41392" w:rsidRDefault="004C0940">
            <w:r>
              <w:rPr>
                <w:rFonts w:ascii="Calibri" w:hAnsi="Calibri"/>
              </w:rPr>
              <w:t>61% (2022)</w:t>
            </w:r>
          </w:p>
        </w:tc>
      </w:tr>
      <w:tr w:rsidR="00D41392" w14:paraId="17F865E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0C7ECB2" w14:textId="77777777" w:rsidR="00D41392" w:rsidRDefault="004C0940">
            <w:r>
              <w:rPr>
                <w:rFonts w:ascii="Calibri" w:hAnsi="Calibri"/>
              </w:rPr>
              <w:t>Works in Tel Aviv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0D02CFF" w14:textId="77777777" w:rsidR="00D41392" w:rsidRDefault="004C0940">
            <w:r>
              <w:rPr>
                <w:rFonts w:ascii="Calibri" w:hAnsi="Calibri"/>
              </w:rPr>
              <w:t>68% (2019)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D5B25A7" w14:textId="77777777" w:rsidR="00D41392" w:rsidRDefault="004C0940">
            <w:r>
              <w:rPr>
                <w:rFonts w:ascii="Calibri" w:hAnsi="Calibri"/>
              </w:rPr>
              <w:t>67% (2021)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CC04A8B" w14:textId="77777777" w:rsidR="00D41392" w:rsidRDefault="004C0940">
            <w:r>
              <w:rPr>
                <w:rFonts w:ascii="Calibri" w:hAnsi="Calibri"/>
              </w:rPr>
              <w:t>63% (2022)</w:t>
            </w:r>
          </w:p>
        </w:tc>
      </w:tr>
    </w:tbl>
    <w:p w14:paraId="2F6B0E1D" w14:textId="3CFA78EF" w:rsidR="00D41392" w:rsidRDefault="007E3C73">
      <w:r>
        <w:rPr>
          <w:rFonts w:ascii="Calibri" w:hAnsi="Calibri"/>
          <w:noProof/>
          <w:sz w:val="22"/>
        </w:rPr>
        <w:t xml:space="preserve">       </w:t>
      </w:r>
      <w:r>
        <w:rPr>
          <w:rFonts w:ascii="Calibri" w:hAnsi="Calibri"/>
          <w:noProof/>
          <w:sz w:val="22"/>
        </w:rPr>
        <w:drawing>
          <wp:inline distT="0" distB="0" distL="0" distR="0" wp14:anchorId="181877DE" wp14:editId="7DBB4913">
            <wp:extent cx="1936944" cy="2184619"/>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8.png"/>
                    <pic:cNvPicPr>
                      <a:picLocks noChangeAspect="1" noChangeArrowheads="1"/>
                    </pic:cNvPicPr>
                  </pic:nvPicPr>
                  <pic:blipFill>
                    <a:blip r:embed="rId13"/>
                    <a:stretch>
                      <a:fillRect/>
                    </a:stretch>
                  </pic:blipFill>
                  <pic:spPr bwMode="auto">
                    <a:xfrm>
                      <a:off x="0" y="0"/>
                      <a:ext cx="1936944" cy="2184619"/>
                    </a:xfrm>
                    <a:prstGeom prst="rect">
                      <a:avLst/>
                    </a:prstGeom>
                    <a:noFill/>
                    <a:ln w="9525">
                      <a:noFill/>
                      <a:headEnd/>
                      <a:tailEnd/>
                    </a:ln>
                  </pic:spPr>
                </pic:pic>
              </a:graphicData>
            </a:graphic>
          </wp:inline>
        </w:drawing>
      </w:r>
      <w:r>
        <w:rPr>
          <w:rFonts w:ascii="Calibri" w:hAnsi="Calibri"/>
          <w:noProof/>
          <w:sz w:val="22"/>
        </w:rPr>
        <w:drawing>
          <wp:inline distT="0" distB="0" distL="0" distR="0" wp14:anchorId="14EF5E68" wp14:editId="048BCCF5">
            <wp:extent cx="3752850" cy="2242820"/>
            <wp:effectExtent l="0" t="0" r="0" b="5080"/>
            <wp:docPr id="61" name="Picture"/>
            <wp:cNvGraphicFramePr/>
            <a:graphic xmlns:a="http://schemas.openxmlformats.org/drawingml/2006/main">
              <a:graphicData uri="http://schemas.openxmlformats.org/drawingml/2006/picture">
                <pic:pic xmlns:pic="http://schemas.openxmlformats.org/drawingml/2006/picture">
                  <pic:nvPicPr>
                    <pic:cNvPr id="62" name="Picture" descr="media/image9.png"/>
                    <pic:cNvPicPr>
                      <a:picLocks noChangeAspect="1" noChangeArrowheads="1"/>
                    </pic:cNvPicPr>
                  </pic:nvPicPr>
                  <pic:blipFill>
                    <a:blip r:embed="rId14"/>
                    <a:stretch>
                      <a:fillRect/>
                    </a:stretch>
                  </pic:blipFill>
                  <pic:spPr bwMode="auto">
                    <a:xfrm>
                      <a:off x="0" y="0"/>
                      <a:ext cx="3753708" cy="2243333"/>
                    </a:xfrm>
                    <a:prstGeom prst="rect">
                      <a:avLst/>
                    </a:prstGeom>
                    <a:noFill/>
                    <a:ln w="9525">
                      <a:noFill/>
                      <a:headEnd/>
                      <a:tailEnd/>
                    </a:ln>
                  </pic:spPr>
                </pic:pic>
              </a:graphicData>
            </a:graphic>
          </wp:inline>
        </w:drawing>
      </w:r>
    </w:p>
    <w:p w14:paraId="39094048" w14:textId="77777777" w:rsidR="00D41392" w:rsidRDefault="004C0940">
      <w:r>
        <w:rPr>
          <w:rFonts w:ascii="Calibri" w:hAnsi="Calibri"/>
          <w:sz w:val="22"/>
        </w:rPr>
        <w:t>Key observations:</w:t>
      </w:r>
    </w:p>
    <w:p w14:paraId="32F3EA84" w14:textId="77777777" w:rsidR="00D41392" w:rsidRDefault="004C0940">
      <w:pPr>
        <w:numPr>
          <w:ilvl w:val="0"/>
          <w:numId w:val="19"/>
        </w:numPr>
      </w:pPr>
      <w:r>
        <w:rPr>
          <w:rFonts w:ascii="Calibri" w:hAnsi="Calibri"/>
          <w:sz w:val="22"/>
        </w:rPr>
        <w:t xml:space="preserve">2019 baseline: only 22% 'always'; 45% 'never'. Matches CBS 2019 and </w:t>
      </w:r>
      <w:proofErr w:type="spellStart"/>
      <w:r>
        <w:rPr>
          <w:rFonts w:ascii="Calibri" w:hAnsi="Calibri"/>
          <w:sz w:val="22"/>
        </w:rPr>
        <w:t>Sourasky</w:t>
      </w:r>
      <w:proofErr w:type="spellEnd"/>
      <w:r>
        <w:rPr>
          <w:rFonts w:ascii="Calibri" w:hAnsi="Calibri"/>
          <w:sz w:val="22"/>
        </w:rPr>
        <w:t xml:space="preserve"> hospital data.</w:t>
      </w:r>
    </w:p>
    <w:p w14:paraId="5278940E" w14:textId="77777777" w:rsidR="00D41392" w:rsidRDefault="004C0940">
      <w:pPr>
        <w:numPr>
          <w:ilvl w:val="0"/>
          <w:numId w:val="19"/>
        </w:numPr>
      </w:pPr>
      <w:r>
        <w:rPr>
          <w:rFonts w:ascii="Calibri" w:hAnsi="Calibri"/>
          <w:sz w:val="22"/>
        </w:rPr>
        <w:t>2022 post-law: 52% 'always' — sharpest single-year jump.</w:t>
      </w:r>
    </w:p>
    <w:p w14:paraId="76D4CF93" w14:textId="77777777" w:rsidR="00D41392" w:rsidRDefault="004C0940">
      <w:pPr>
        <w:numPr>
          <w:ilvl w:val="0"/>
          <w:numId w:val="19"/>
        </w:numPr>
      </w:pPr>
      <w:r>
        <w:rPr>
          <w:rFonts w:ascii="Calibri" w:hAnsi="Calibri"/>
          <w:sz w:val="22"/>
        </w:rPr>
        <w:t>Subscribers skew young and male: 80–82% male (80% in 2022, 82% in 2021); 67% aged under 40.</w:t>
      </w:r>
    </w:p>
    <w:p w14:paraId="5D2C2938" w14:textId="77777777" w:rsidR="00D41392" w:rsidRDefault="004C0940">
      <w:pPr>
        <w:numPr>
          <w:ilvl w:val="0"/>
          <w:numId w:val="19"/>
        </w:numPr>
      </w:pPr>
      <w:r>
        <w:rPr>
          <w:rFonts w:ascii="Calibri" w:hAnsi="Calibri"/>
          <w:sz w:val="22"/>
        </w:rPr>
        <w:t>Growing non-resident use: Tel Aviv residents dropped from 78% (2020) to 61% (2022).</w:t>
      </w:r>
    </w:p>
    <w:p w14:paraId="02363C10" w14:textId="77777777" w:rsidR="00D41392" w:rsidRDefault="004C0940">
      <w:pPr>
        <w:numPr>
          <w:ilvl w:val="0"/>
          <w:numId w:val="19"/>
        </w:numPr>
      </w:pPr>
      <w:r>
        <w:rPr>
          <w:rFonts w:ascii="Calibri" w:hAnsi="Calibri"/>
          <w:sz w:val="22"/>
        </w:rPr>
        <w:t>Hygiene barrier: 51% (2021) → 42% (2022). Personal helmet ownership doubled from 28% to 50%.</w:t>
      </w:r>
    </w:p>
    <w:p w14:paraId="75AAE8CF" w14:textId="77777777" w:rsidR="00D41392" w:rsidRDefault="004C0940">
      <w:r>
        <w:rPr>
          <w:rFonts w:ascii="Calibri" w:hAnsi="Calibri"/>
          <w:b/>
          <w:bCs/>
          <w:sz w:val="22"/>
        </w:rPr>
        <w:t>Statistical Test (Demographics):</w:t>
      </w:r>
    </w:p>
    <w:p w14:paraId="38B2337B" w14:textId="77777777" w:rsidR="00D41392" w:rsidRDefault="004C0940">
      <w:r>
        <w:rPr>
          <w:rFonts w:ascii="Calibri" w:hAnsi="Calibri"/>
          <w:sz w:val="22"/>
        </w:rPr>
        <w:t>Chi-square goodness of fit test comparing subscriber demographics to Tel Aviv general population:</w:t>
      </w:r>
    </w:p>
    <w:p w14:paraId="276DBDD7" w14:textId="77777777" w:rsidR="00D41392" w:rsidRDefault="004C0940">
      <w:r>
        <w:rPr>
          <w:rFonts w:ascii="Calibri" w:hAnsi="Calibri"/>
          <w:b/>
          <w:bCs/>
          <w:sz w:val="22"/>
        </w:rPr>
        <w:t>Sample:</w:t>
      </w:r>
      <w:r>
        <w:rPr>
          <w:rFonts w:ascii="Calibri" w:hAnsi="Calibri"/>
          <w:sz w:val="22"/>
        </w:rPr>
        <w:t xml:space="preserve"> N=1,875 Tel Aviv e-scooter shared subscribers surveyed 2019-2022</w:t>
      </w:r>
      <w:r>
        <w:rPr>
          <w:rFonts w:ascii="Calibri" w:hAnsi="Calibri"/>
          <w:sz w:val="22"/>
        </w:rPr>
        <w:br/>
      </w:r>
      <w:r>
        <w:rPr>
          <w:rFonts w:ascii="Calibri" w:hAnsi="Calibri"/>
          <w:b/>
          <w:bCs/>
          <w:sz w:val="22"/>
        </w:rPr>
        <w:t>Comparison group:</w:t>
      </w:r>
      <w:r>
        <w:rPr>
          <w:rFonts w:ascii="Calibri" w:hAnsi="Calibri"/>
          <w:sz w:val="22"/>
        </w:rPr>
        <w:t xml:space="preserve"> Tel Aviv general population aged 15+ (CBS 2019 census data)</w:t>
      </w:r>
    </w:p>
    <w:p w14:paraId="3818B7E0" w14:textId="77777777" w:rsidR="00D41392" w:rsidRDefault="004C0940">
      <w:r>
        <w:rPr>
          <w:rFonts w:ascii="Calibri" w:hAnsi="Calibri"/>
          <w:sz w:val="22"/>
        </w:rPr>
        <w:t xml:space="preserve">• </w:t>
      </w:r>
      <w:r>
        <w:rPr>
          <w:rFonts w:ascii="Calibri" w:hAnsi="Calibri"/>
          <w:b/>
          <w:bCs/>
          <w:sz w:val="22"/>
        </w:rPr>
        <w:t>Gender distribution:</w:t>
      </w:r>
      <w:r>
        <w:rPr>
          <w:rFonts w:ascii="Calibri" w:hAnsi="Calibri"/>
          <w:sz w:val="22"/>
        </w:rPr>
        <w:t xml:space="preserve"> Subscribers show significant male bias (80–82% male vs ~50% expected in general population). χ² = 675.0, </w:t>
      </w:r>
      <w:proofErr w:type="spellStart"/>
      <w:r>
        <w:rPr>
          <w:rFonts w:ascii="Calibri" w:hAnsi="Calibri"/>
          <w:sz w:val="22"/>
        </w:rPr>
        <w:t>df</w:t>
      </w:r>
      <w:proofErr w:type="spellEnd"/>
      <w:r>
        <w:rPr>
          <w:rFonts w:ascii="Calibri" w:hAnsi="Calibri"/>
          <w:sz w:val="22"/>
        </w:rPr>
        <w:t xml:space="preserve"> = 1, p &lt; 0.001.</w:t>
      </w:r>
    </w:p>
    <w:p w14:paraId="2752CCE4" w14:textId="77777777" w:rsidR="00D41392" w:rsidRDefault="004C0940">
      <w:r>
        <w:rPr>
          <w:rFonts w:ascii="Calibri" w:hAnsi="Calibri"/>
          <w:sz w:val="22"/>
        </w:rPr>
        <w:t xml:space="preserve">• </w:t>
      </w:r>
      <w:r>
        <w:rPr>
          <w:rFonts w:ascii="Calibri" w:hAnsi="Calibri"/>
          <w:b/>
          <w:bCs/>
          <w:sz w:val="22"/>
        </w:rPr>
        <w:t>Age distribution:</w:t>
      </w:r>
      <w:r>
        <w:rPr>
          <w:rFonts w:ascii="Calibri" w:hAnsi="Calibri"/>
          <w:sz w:val="22"/>
        </w:rPr>
        <w:t xml:space="preserve"> Subscribers are significantly younger than general population. 71% of subscribers are under age 40, compared to 47% in Tel Aviv population aged 15+. χ² = 472.1, </w:t>
      </w:r>
      <w:proofErr w:type="spellStart"/>
      <w:r>
        <w:rPr>
          <w:rFonts w:ascii="Calibri" w:hAnsi="Calibri"/>
          <w:sz w:val="22"/>
        </w:rPr>
        <w:t>df</w:t>
      </w:r>
      <w:proofErr w:type="spellEnd"/>
      <w:r>
        <w:rPr>
          <w:rFonts w:ascii="Calibri" w:hAnsi="Calibri"/>
          <w:sz w:val="22"/>
        </w:rPr>
        <w:t xml:space="preserve"> = 3, p &lt; 0.001.</w:t>
      </w:r>
    </w:p>
    <w:p w14:paraId="2E8B095E" w14:textId="77777777" w:rsidR="00D41392" w:rsidRDefault="004C0940">
      <w:r>
        <w:rPr>
          <w:rFonts w:ascii="Calibri" w:hAnsi="Calibri"/>
          <w:b/>
          <w:bCs/>
          <w:sz w:val="22"/>
        </w:rPr>
        <w:t>Interpretation:</w:t>
      </w:r>
      <w:r>
        <w:rPr>
          <w:rFonts w:ascii="Calibri" w:hAnsi="Calibri"/>
          <w:sz w:val="22"/>
        </w:rPr>
        <w:t xml:space="preserve"> E-scooter shared subscribers are not representative of the general Tel Aviv population. They skew heavily male and young, which should be considered when comparing survey compliance rates to CBS crash data. The crash population (all riders including private owners) likely has a different demographic profile than this shared-scooter subscriber sample.</w:t>
      </w:r>
    </w:p>
    <w:p w14:paraId="1A110001" w14:textId="0F8B16D3" w:rsidR="00D41392" w:rsidRPr="00D64E7A" w:rsidRDefault="00D64E7A" w:rsidP="00D64E7A">
      <w:pPr>
        <w:pBdr>
          <w:left w:val="single" w:sz="12" w:space="0" w:color="C55A11"/>
        </w:pBdr>
        <w:shd w:val="clear" w:color="auto" w:fill="EBF3FB"/>
        <w:spacing w:before="240" w:after="240"/>
        <w:ind w:left="180"/>
        <w:rPr>
          <w:i/>
          <w:iCs/>
        </w:rPr>
      </w:pPr>
      <w:r>
        <w:rPr>
          <w:b/>
          <w:bCs/>
          <w:i/>
          <w:iCs/>
        </w:rPr>
        <w:t>Key Insight</w:t>
      </w:r>
      <w:r>
        <w:rPr>
          <w:i/>
          <w:iCs/>
        </w:rPr>
        <w:t>: Survey data independently confirm the law’s behavioral impact. The ‘always’ rate more than doubled from 22% (2019 pre-law) to 52% (2022), matching the upward trajectory seen in CBS crash records over the same period. Because surveys capture all riders regardless of crash involvement, they provide evidence that compliance improved across the general riding population — not only among riders who crashed. The growing share of personal helmet ownership (28% → 50% among non-users of operator helmets) suggests the law created a lasting behavioral norm rather than just deterrence-driven compliance.</w:t>
      </w:r>
    </w:p>
    <w:p w14:paraId="5739CE23" w14:textId="77777777" w:rsidR="00D41392" w:rsidRPr="005E22EB" w:rsidRDefault="004C0940" w:rsidP="005E22EB">
      <w:pPr>
        <w:pStyle w:val="Heading1"/>
        <w:spacing w:before="480" w:after="240"/>
        <w:rPr>
          <w:b/>
          <w:bCs/>
          <w:color w:val="1F4E79"/>
        </w:rPr>
      </w:pPr>
      <w:bookmarkStart w:id="4" w:name="enforcement-data-tel-aviv-20192024"/>
      <w:r>
        <w:rPr>
          <w:b/>
          <w:bCs/>
          <w:color w:val="1F4E79"/>
        </w:rPr>
        <w:lastRenderedPageBreak/>
        <w:t>4. Enforcement Data — Tel Aviv, 2019–2024</w:t>
      </w:r>
    </w:p>
    <w:p w14:paraId="6E98D833" w14:textId="12F85CAE" w:rsidR="00637672" w:rsidRPr="00DE05DF" w:rsidRDefault="00637672" w:rsidP="00DE05DF">
      <w:pPr>
        <w:pStyle w:val="Heading2"/>
        <w:spacing w:before="480" w:after="240"/>
        <w:rPr>
          <w:b/>
          <w:bCs/>
          <w:color w:val="1F4E79"/>
          <w:sz w:val="28"/>
          <w:szCs w:val="28"/>
        </w:rPr>
      </w:pPr>
      <w:bookmarkStart w:id="5" w:name="X03f3f2ab03e8a411034715c9a3a5f754481a359"/>
      <w:r>
        <w:rPr>
          <w:b/>
          <w:bCs/>
          <w:color w:val="1F4E79"/>
          <w:sz w:val="28"/>
          <w:szCs w:val="28"/>
        </w:rPr>
        <w:t xml:space="preserve">4.1 Yearly Enforcement Trend </w:t>
      </w:r>
    </w:p>
    <w:p w14:paraId="6DEA2A38" w14:textId="77777777" w:rsidR="00185C10" w:rsidRDefault="00185C10" w:rsidP="00185C10">
      <w:pPr>
        <w:spacing w:before="240" w:after="120"/>
      </w:pPr>
      <w:r>
        <w:rPr>
          <w:b/>
          <w:bCs/>
          <w:sz w:val="24"/>
          <w:szCs w:val="24"/>
        </w:rPr>
        <w:t>Table 6: No-helmet fines as a compliance trend indicator, Tel Aviv 2019–2024</w:t>
      </w:r>
    </w:p>
    <w:tbl>
      <w:tblPr>
        <w:tblW w:w="10260" w:type="dxa"/>
        <w:tblInd w:w="-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440"/>
        <w:gridCol w:w="1440"/>
        <w:gridCol w:w="1170"/>
        <w:gridCol w:w="5220"/>
      </w:tblGrid>
      <w:tr w:rsidR="00185C10" w14:paraId="2CA657F6"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4B629CF4" w14:textId="77777777" w:rsidR="00185C10" w:rsidRDefault="00185C10" w:rsidP="004C0940">
            <w:pPr>
              <w:jc w:val="center"/>
            </w:pPr>
            <w:r>
              <w:rPr>
                <w:b/>
                <w:bCs/>
                <w:color w:val="FFFFFF"/>
                <w:sz w:val="22"/>
                <w:szCs w:val="22"/>
              </w:rPr>
              <w:t>Year</w:t>
            </w:r>
          </w:p>
        </w:tc>
        <w:tc>
          <w:tcPr>
            <w:tcW w:w="144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212C2B29" w14:textId="77777777" w:rsidR="00185C10" w:rsidRDefault="00185C10" w:rsidP="004C0940">
            <w:pPr>
              <w:jc w:val="center"/>
            </w:pPr>
            <w:r>
              <w:rPr>
                <w:b/>
                <w:bCs/>
                <w:color w:val="FFFFFF"/>
                <w:sz w:val="22"/>
                <w:szCs w:val="22"/>
              </w:rPr>
              <w:t>E-Scooter No Helmet</w:t>
            </w:r>
          </w:p>
        </w:tc>
        <w:tc>
          <w:tcPr>
            <w:tcW w:w="144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36809AAA" w14:textId="77777777" w:rsidR="00185C10" w:rsidRDefault="00185C10" w:rsidP="004C0940">
            <w:pPr>
              <w:jc w:val="center"/>
            </w:pPr>
            <w:r>
              <w:rPr>
                <w:b/>
                <w:bCs/>
                <w:color w:val="FFFFFF"/>
                <w:sz w:val="22"/>
                <w:szCs w:val="22"/>
              </w:rPr>
              <w:t>E-Scooter Total</w:t>
            </w:r>
          </w:p>
        </w:tc>
        <w:tc>
          <w:tcPr>
            <w:tcW w:w="117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7EBA2C44" w14:textId="77777777" w:rsidR="00185C10" w:rsidRDefault="00185C10" w:rsidP="004C0940">
            <w:pPr>
              <w:jc w:val="center"/>
            </w:pPr>
            <w:r>
              <w:rPr>
                <w:b/>
                <w:bCs/>
                <w:color w:val="FFFFFF"/>
                <w:sz w:val="22"/>
                <w:szCs w:val="22"/>
              </w:rPr>
              <w:t>YoY Change</w:t>
            </w:r>
          </w:p>
        </w:tc>
        <w:tc>
          <w:tcPr>
            <w:tcW w:w="522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47413BF7" w14:textId="77777777" w:rsidR="00185C10" w:rsidRDefault="00185C10" w:rsidP="004C0940">
            <w:pPr>
              <w:jc w:val="center"/>
            </w:pPr>
            <w:r>
              <w:rPr>
                <w:b/>
                <w:bCs/>
                <w:color w:val="FFFFFF"/>
                <w:sz w:val="22"/>
                <w:szCs w:val="22"/>
              </w:rPr>
              <w:t>Context</w:t>
            </w:r>
          </w:p>
        </w:tc>
      </w:tr>
      <w:tr w:rsidR="00185C10" w14:paraId="5A733A21"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04893B0F" w14:textId="77777777" w:rsidR="00185C10" w:rsidRDefault="00185C10" w:rsidP="004C0940">
            <w:pPr>
              <w:jc w:val="center"/>
            </w:pPr>
            <w:r>
              <w:rPr>
                <w:color w:val="000000"/>
                <w:sz w:val="22"/>
                <w:szCs w:val="22"/>
              </w:rPr>
              <w:t>2019</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FAB54E4" w14:textId="77777777" w:rsidR="00185C10" w:rsidRDefault="00185C10" w:rsidP="004C0940">
            <w:pPr>
              <w:jc w:val="right"/>
            </w:pPr>
            <w:r>
              <w:rPr>
                <w:color w:val="000000"/>
                <w:sz w:val="22"/>
                <w:szCs w:val="22"/>
              </w:rPr>
              <w:t>2,208</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0AE46947" w14:textId="77777777" w:rsidR="00185C10" w:rsidRDefault="00185C10" w:rsidP="004C0940">
            <w:pPr>
              <w:jc w:val="right"/>
            </w:pPr>
            <w:r>
              <w:rPr>
                <w:color w:val="000000"/>
                <w:sz w:val="22"/>
                <w:szCs w:val="22"/>
              </w:rPr>
              <w:t>2,728</w:t>
            </w:r>
          </w:p>
        </w:tc>
        <w:tc>
          <w:tcPr>
            <w:tcW w:w="11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77A76FFA" w14:textId="77777777" w:rsidR="00185C10" w:rsidRDefault="00185C10" w:rsidP="004C0940">
            <w:pPr>
              <w:jc w:val="center"/>
            </w:pPr>
            <w:r>
              <w:rPr>
                <w:color w:val="000000"/>
                <w:sz w:val="22"/>
                <w:szCs w:val="22"/>
              </w:rPr>
              <w:t>—</w:t>
            </w:r>
          </w:p>
        </w:tc>
        <w:tc>
          <w:tcPr>
            <w:tcW w:w="522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6D7FC9F2" w14:textId="77777777" w:rsidR="00185C10" w:rsidRDefault="00185C10" w:rsidP="004C0940">
            <w:r>
              <w:rPr>
                <w:color w:val="000000"/>
                <w:sz w:val="22"/>
                <w:szCs w:val="22"/>
              </w:rPr>
              <w:t>Law enacted (250₪); police-only enforcement</w:t>
            </w:r>
          </w:p>
        </w:tc>
      </w:tr>
      <w:tr w:rsidR="00185C10" w14:paraId="1F8A1A15"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189EF83" w14:textId="77777777" w:rsidR="00185C10" w:rsidRDefault="00185C10" w:rsidP="004C0940">
            <w:pPr>
              <w:jc w:val="center"/>
            </w:pPr>
            <w:r>
              <w:rPr>
                <w:color w:val="000000"/>
                <w:sz w:val="22"/>
                <w:szCs w:val="22"/>
              </w:rPr>
              <w:t>2020</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73B6412A" w14:textId="77777777" w:rsidR="00185C10" w:rsidRDefault="00185C10" w:rsidP="004C0940">
            <w:pPr>
              <w:jc w:val="right"/>
            </w:pPr>
            <w:r>
              <w:rPr>
                <w:color w:val="000000"/>
                <w:sz w:val="22"/>
                <w:szCs w:val="22"/>
              </w:rPr>
              <w:t>3,254</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1EEDA86" w14:textId="77777777" w:rsidR="00185C10" w:rsidRDefault="00185C10" w:rsidP="004C0940">
            <w:pPr>
              <w:jc w:val="right"/>
            </w:pPr>
            <w:r>
              <w:rPr>
                <w:color w:val="000000"/>
                <w:sz w:val="22"/>
                <w:szCs w:val="22"/>
              </w:rPr>
              <w:t>3,593</w:t>
            </w:r>
          </w:p>
        </w:tc>
        <w:tc>
          <w:tcPr>
            <w:tcW w:w="11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34220AB" w14:textId="77777777" w:rsidR="00185C10" w:rsidRDefault="00185C10" w:rsidP="004C0940">
            <w:pPr>
              <w:jc w:val="right"/>
            </w:pPr>
            <w:r>
              <w:rPr>
                <w:color w:val="000000"/>
                <w:sz w:val="22"/>
                <w:szCs w:val="22"/>
              </w:rPr>
              <w:t>+47%</w:t>
            </w:r>
          </w:p>
        </w:tc>
        <w:tc>
          <w:tcPr>
            <w:tcW w:w="522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0AEC1FBC" w14:textId="77777777" w:rsidR="00185C10" w:rsidRDefault="00185C10" w:rsidP="004C0940">
            <w:r>
              <w:rPr>
                <w:color w:val="000000"/>
                <w:sz w:val="22"/>
                <w:szCs w:val="22"/>
              </w:rPr>
              <w:t>Law1 peak: no-helmet = 91% of total fines</w:t>
            </w:r>
          </w:p>
        </w:tc>
      </w:tr>
      <w:tr w:rsidR="00185C10" w14:paraId="10083BAB"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017669B" w14:textId="77777777" w:rsidR="00185C10" w:rsidRDefault="00185C10" w:rsidP="004C0940">
            <w:pPr>
              <w:jc w:val="center"/>
            </w:pPr>
            <w:r>
              <w:rPr>
                <w:color w:val="1F4E79"/>
                <w:sz w:val="22"/>
                <w:szCs w:val="22"/>
              </w:rPr>
              <w:t>2021</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CC80D04" w14:textId="77777777" w:rsidR="00185C10" w:rsidRDefault="00185C10" w:rsidP="004C0940">
            <w:pPr>
              <w:jc w:val="right"/>
            </w:pPr>
            <w:r>
              <w:rPr>
                <w:color w:val="1F4E79"/>
                <w:sz w:val="22"/>
                <w:szCs w:val="22"/>
              </w:rPr>
              <w:t>424</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1A841F2" w14:textId="77777777" w:rsidR="00185C10" w:rsidRDefault="00185C10" w:rsidP="004C0940">
            <w:pPr>
              <w:jc w:val="right"/>
            </w:pPr>
            <w:r>
              <w:rPr>
                <w:color w:val="1F4E79"/>
                <w:sz w:val="22"/>
                <w:szCs w:val="22"/>
              </w:rPr>
              <w:t>1,091</w:t>
            </w:r>
          </w:p>
        </w:tc>
        <w:tc>
          <w:tcPr>
            <w:tcW w:w="11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3EF6C58B" w14:textId="77777777" w:rsidR="00185C10" w:rsidRDefault="00185C10" w:rsidP="004C0940">
            <w:pPr>
              <w:jc w:val="right"/>
            </w:pPr>
            <w:r>
              <w:rPr>
                <w:color w:val="1F4E79"/>
                <w:sz w:val="22"/>
                <w:szCs w:val="22"/>
              </w:rPr>
              <w:t>−87%</w:t>
            </w:r>
          </w:p>
        </w:tc>
        <w:tc>
          <w:tcPr>
            <w:tcW w:w="52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C053D2A" w14:textId="77777777" w:rsidR="00185C10" w:rsidRDefault="00185C10" w:rsidP="004C0940">
            <w:r>
              <w:rPr>
                <w:color w:val="1F4E79"/>
                <w:sz w:val="22"/>
                <w:szCs w:val="22"/>
              </w:rPr>
              <w:t>COVID redeployment + law compliance effect: fines −87%; no-helmet share drops to 39%</w:t>
            </w:r>
          </w:p>
        </w:tc>
      </w:tr>
      <w:tr w:rsidR="00185C10" w14:paraId="352369B2"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6E5C692" w14:textId="77777777" w:rsidR="00185C10" w:rsidRDefault="00185C10" w:rsidP="004C0940">
            <w:pPr>
              <w:jc w:val="center"/>
            </w:pPr>
            <w:r>
              <w:rPr>
                <w:color w:val="1F4E79"/>
                <w:sz w:val="22"/>
                <w:szCs w:val="22"/>
              </w:rPr>
              <w:t>2022</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7FF9266" w14:textId="77777777" w:rsidR="00185C10" w:rsidRDefault="00185C10" w:rsidP="004C0940">
            <w:pPr>
              <w:jc w:val="right"/>
            </w:pPr>
            <w:r>
              <w:rPr>
                <w:color w:val="1F4E79"/>
                <w:sz w:val="22"/>
                <w:szCs w:val="22"/>
              </w:rPr>
              <w:t>415</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2A03836" w14:textId="77777777" w:rsidR="00185C10" w:rsidRDefault="00185C10" w:rsidP="004C0940">
            <w:pPr>
              <w:jc w:val="right"/>
            </w:pPr>
            <w:r>
              <w:rPr>
                <w:color w:val="1F4E79"/>
                <w:sz w:val="22"/>
                <w:szCs w:val="22"/>
              </w:rPr>
              <w:t>967</w:t>
            </w:r>
          </w:p>
        </w:tc>
        <w:tc>
          <w:tcPr>
            <w:tcW w:w="11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7992B55" w14:textId="77777777" w:rsidR="00185C10" w:rsidRDefault="00185C10" w:rsidP="004C0940">
            <w:pPr>
              <w:jc w:val="right"/>
            </w:pPr>
            <w:r>
              <w:rPr>
                <w:color w:val="1F4E79"/>
                <w:sz w:val="22"/>
                <w:szCs w:val="22"/>
              </w:rPr>
              <w:t>−2%</w:t>
            </w:r>
          </w:p>
        </w:tc>
        <w:tc>
          <w:tcPr>
            <w:tcW w:w="52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A20532B" w14:textId="5FAF69DC" w:rsidR="00185C10" w:rsidRDefault="00185C10" w:rsidP="004C0940">
            <w:r>
              <w:rPr>
                <w:color w:val="1F4E79"/>
                <w:sz w:val="22"/>
                <w:szCs w:val="22"/>
              </w:rPr>
              <w:t>2022 amendment(Law2): municipal inspectors gain fine authority; other offences rise; no-helmet = 43% of total</w:t>
            </w:r>
          </w:p>
        </w:tc>
      </w:tr>
      <w:tr w:rsidR="00185C10" w14:paraId="68210370"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A9A99AC" w14:textId="77777777" w:rsidR="00185C10" w:rsidRDefault="00185C10" w:rsidP="004C0940">
            <w:pPr>
              <w:jc w:val="center"/>
            </w:pPr>
            <w:r>
              <w:rPr>
                <w:color w:val="1F4E79"/>
                <w:sz w:val="22"/>
                <w:szCs w:val="22"/>
              </w:rPr>
              <w:t>2023</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8062452" w14:textId="77777777" w:rsidR="00185C10" w:rsidRDefault="00185C10" w:rsidP="004C0940">
            <w:pPr>
              <w:jc w:val="right"/>
            </w:pPr>
            <w:r>
              <w:rPr>
                <w:color w:val="1F4E79"/>
                <w:sz w:val="22"/>
                <w:szCs w:val="22"/>
              </w:rPr>
              <w:t>457</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EAC002E" w14:textId="77777777" w:rsidR="00185C10" w:rsidRDefault="00185C10" w:rsidP="004C0940">
            <w:pPr>
              <w:jc w:val="right"/>
            </w:pPr>
            <w:r>
              <w:rPr>
                <w:color w:val="1F4E79"/>
                <w:sz w:val="22"/>
                <w:szCs w:val="22"/>
              </w:rPr>
              <w:t>888</w:t>
            </w:r>
          </w:p>
        </w:tc>
        <w:tc>
          <w:tcPr>
            <w:tcW w:w="11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78FCCDC" w14:textId="77777777" w:rsidR="00185C10" w:rsidRDefault="00185C10" w:rsidP="004C0940">
            <w:pPr>
              <w:jc w:val="right"/>
            </w:pPr>
            <w:r>
              <w:rPr>
                <w:color w:val="1F4E79"/>
                <w:sz w:val="22"/>
                <w:szCs w:val="22"/>
              </w:rPr>
              <w:t>+10%</w:t>
            </w:r>
          </w:p>
        </w:tc>
        <w:tc>
          <w:tcPr>
            <w:tcW w:w="52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42B30058" w14:textId="77777777" w:rsidR="00185C10" w:rsidRDefault="00185C10" w:rsidP="004C0940">
            <w:r>
              <w:rPr>
                <w:color w:val="1F4E79"/>
                <w:sz w:val="22"/>
                <w:szCs w:val="22"/>
              </w:rPr>
              <w:t>Expanded enforcement base sustained; no-helmet share rises to 51%</w:t>
            </w:r>
          </w:p>
        </w:tc>
      </w:tr>
      <w:tr w:rsidR="00185C10" w14:paraId="5DAC6054" w14:textId="77777777" w:rsidTr="00DE05DF">
        <w:tc>
          <w:tcPr>
            <w:tcW w:w="99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58DC6DD" w14:textId="77777777" w:rsidR="00185C10" w:rsidRDefault="00185C10" w:rsidP="004C0940">
            <w:pPr>
              <w:jc w:val="center"/>
            </w:pPr>
            <w:r>
              <w:rPr>
                <w:color w:val="1F4E79"/>
                <w:sz w:val="22"/>
                <w:szCs w:val="22"/>
              </w:rPr>
              <w:t>2024</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3B12EAB2" w14:textId="77777777" w:rsidR="00185C10" w:rsidRDefault="00185C10" w:rsidP="004C0940">
            <w:pPr>
              <w:jc w:val="right"/>
            </w:pPr>
            <w:r>
              <w:rPr>
                <w:color w:val="1F4E79"/>
                <w:sz w:val="22"/>
                <w:szCs w:val="22"/>
              </w:rPr>
              <w:t>803</w:t>
            </w:r>
          </w:p>
        </w:tc>
        <w:tc>
          <w:tcPr>
            <w:tcW w:w="144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FC28368" w14:textId="77777777" w:rsidR="00185C10" w:rsidRDefault="00185C10" w:rsidP="004C0940">
            <w:pPr>
              <w:jc w:val="right"/>
            </w:pPr>
            <w:r>
              <w:rPr>
                <w:color w:val="1F4E79"/>
                <w:sz w:val="22"/>
                <w:szCs w:val="22"/>
              </w:rPr>
              <w:t>1,321</w:t>
            </w:r>
          </w:p>
        </w:tc>
        <w:tc>
          <w:tcPr>
            <w:tcW w:w="11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44381754" w14:textId="77777777" w:rsidR="00185C10" w:rsidRDefault="00185C10" w:rsidP="004C0940">
            <w:pPr>
              <w:jc w:val="right"/>
            </w:pPr>
            <w:r>
              <w:rPr>
                <w:color w:val="1F4E79"/>
                <w:sz w:val="22"/>
                <w:szCs w:val="22"/>
              </w:rPr>
              <w:t>+76%</w:t>
            </w:r>
          </w:p>
        </w:tc>
        <w:tc>
          <w:tcPr>
            <w:tcW w:w="52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36E3D698" w14:textId="77777777" w:rsidR="00185C10" w:rsidRDefault="00185C10" w:rsidP="004C0940">
            <w:r>
              <w:rPr>
                <w:color w:val="1F4E79"/>
                <w:sz w:val="22"/>
                <w:szCs w:val="22"/>
              </w:rPr>
              <w:t>No-helmet fines +76%; share of total rises to 61% — source unclear (compliance erosion or enforcement shift?)</w:t>
            </w:r>
          </w:p>
        </w:tc>
      </w:tr>
    </w:tbl>
    <w:p w14:paraId="010754FF" w14:textId="1EB2DA3D" w:rsidR="00DE05DF" w:rsidRPr="00DE05DF" w:rsidRDefault="00DE05DF" w:rsidP="00DE05DF">
      <w:pPr>
        <w:spacing w:before="120" w:after="240"/>
        <w:rPr>
          <w:color w:val="2E74B5"/>
          <w:sz w:val="26"/>
          <w:szCs w:val="26"/>
        </w:rPr>
      </w:pPr>
      <w:r>
        <w:rPr>
          <w:i/>
          <w:iCs/>
          <w:color w:val="666666"/>
        </w:rPr>
        <w:t xml:space="preserve">Note: 'E-Scooter Total' includes all E-Scooter violations (no helmet, carrying passenger, riding on sidewalk, crossing at crosswalk, under minimum age). 'E-Scooter No Helmet' is the subset specific to helmet violations. From 2022, municipal inspectors were </w:t>
      </w:r>
      <w:proofErr w:type="spellStart"/>
      <w:r>
        <w:rPr>
          <w:i/>
          <w:iCs/>
          <w:color w:val="666666"/>
        </w:rPr>
        <w:t>authorised</w:t>
      </w:r>
      <w:proofErr w:type="spellEnd"/>
      <w:r>
        <w:rPr>
          <w:i/>
          <w:iCs/>
          <w:color w:val="666666"/>
        </w:rPr>
        <w:t xml:space="preserve"> to issue fines, expanding total enforcement volume beyond police-only figures from earlier years.</w:t>
      </w:r>
      <w:r>
        <w:rPr>
          <w:color w:val="2E74B5"/>
          <w:sz w:val="26"/>
          <w:szCs w:val="26"/>
        </w:rPr>
        <w:t xml:space="preserve"> </w:t>
      </w:r>
    </w:p>
    <w:p w14:paraId="38F871EC" w14:textId="060B7800" w:rsidR="00185C10" w:rsidRDefault="00637672" w:rsidP="00185C10">
      <w:pPr>
        <w:spacing w:before="120" w:after="240"/>
      </w:pPr>
      <w:r>
        <w:rPr>
          <w:noProof/>
          <w:color w:val="2E74B5"/>
          <w:sz w:val="26"/>
          <w:szCs w:val="26"/>
        </w:rPr>
        <w:drawing>
          <wp:inline distT="0" distB="0" distL="0" distR="0" wp14:anchorId="14075AC0" wp14:editId="79312694">
            <wp:extent cx="4978400" cy="2228850"/>
            <wp:effectExtent l="0" t="0" r="0" b="0"/>
            <wp:docPr id="911815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8400" cy="2228850"/>
                    </a:xfrm>
                    <a:prstGeom prst="rect">
                      <a:avLst/>
                    </a:prstGeom>
                    <a:noFill/>
                    <a:ln>
                      <a:noFill/>
                    </a:ln>
                  </pic:spPr>
                </pic:pic>
              </a:graphicData>
            </a:graphic>
          </wp:inline>
        </w:drawing>
      </w:r>
    </w:p>
    <w:p w14:paraId="2013ED77" w14:textId="77777777" w:rsidR="00DE05DF" w:rsidRDefault="00DE05DF" w:rsidP="00DE05DF">
      <w:pPr>
        <w:rPr>
          <w:rFonts w:ascii="Calibri" w:hAnsi="Calibri"/>
          <w:i/>
          <w:iCs/>
          <w:sz w:val="22"/>
        </w:rPr>
      </w:pPr>
      <w:r>
        <w:rPr>
          <w:rFonts w:ascii="Calibri" w:hAnsi="Calibri"/>
          <w:i/>
          <w:iCs/>
          <w:sz w:val="22"/>
        </w:rPr>
        <w:t>Figure 4.1: Yearly Enforcement: Share of No-Helmet Violations in All Violations  , 2019–2024</w:t>
      </w:r>
    </w:p>
    <w:p w14:paraId="3789C42D" w14:textId="71FE692A" w:rsidR="00DE05DF" w:rsidRDefault="00DE05DF" w:rsidP="00DE05DF">
      <w:pPr>
        <w:spacing w:before="120" w:after="240"/>
      </w:pPr>
      <w:r>
        <w:t xml:space="preserve">The no-helmet share of </w:t>
      </w:r>
      <w:r>
        <w:rPr>
          <w:i/>
          <w:iCs/>
        </w:rPr>
        <w:t>total</w:t>
      </w:r>
      <w:r>
        <w:t xml:space="preserve"> e-scooter fines was already falling before 2022. The shift in the no-helmet share relative to total fines tells a more nuanced story than the raw no-helmet count alone.</w:t>
      </w:r>
    </w:p>
    <w:p w14:paraId="13F8C41C" w14:textId="77777777" w:rsidR="00DE05DF" w:rsidRDefault="00DE05DF" w:rsidP="00185C10">
      <w:pPr>
        <w:spacing w:before="120" w:after="240"/>
      </w:pPr>
    </w:p>
    <w:p w14:paraId="2E374ACB" w14:textId="3D11D90B" w:rsidR="00185C10" w:rsidRDefault="00185C10" w:rsidP="00185C10">
      <w:pPr>
        <w:pStyle w:val="Heading2"/>
        <w:spacing w:before="480" w:after="240"/>
        <w:rPr>
          <w:b/>
          <w:bCs/>
          <w:color w:val="1F4E79"/>
          <w:sz w:val="28"/>
          <w:szCs w:val="28"/>
        </w:rPr>
      </w:pPr>
      <w:r>
        <w:rPr>
          <w:b/>
          <w:bCs/>
          <w:color w:val="1F4E79"/>
          <w:sz w:val="28"/>
          <w:szCs w:val="28"/>
        </w:rPr>
        <w:t>4.2 Temporal Patterns and COVID-19 Impact</w:t>
      </w:r>
    </w:p>
    <w:p w14:paraId="22B953D9" w14:textId="3CFB8087" w:rsidR="000A09FF" w:rsidRDefault="000A09FF" w:rsidP="000A09FF">
      <w:pPr>
        <w:rPr>
          <w:rFonts w:ascii="Calibri" w:hAnsi="Calibri"/>
          <w:i/>
          <w:iCs/>
          <w:sz w:val="22"/>
        </w:rPr>
      </w:pPr>
    </w:p>
    <w:p w14:paraId="282745F8" w14:textId="775262AF" w:rsidR="00637672" w:rsidRDefault="00637672" w:rsidP="000A09FF">
      <w:pPr>
        <w:rPr>
          <w:rFonts w:ascii="Calibri" w:hAnsi="Calibri"/>
          <w:i/>
          <w:iCs/>
          <w:sz w:val="22"/>
        </w:rPr>
      </w:pPr>
      <w:r>
        <w:rPr>
          <w:rFonts w:ascii="Calibri" w:hAnsi="Calibri"/>
          <w:i/>
          <w:iCs/>
          <w:noProof/>
          <w:sz w:val="22"/>
        </w:rPr>
        <w:drawing>
          <wp:inline distT="0" distB="0" distL="0" distR="0" wp14:anchorId="2EA0C564" wp14:editId="52E2345A">
            <wp:extent cx="5568950" cy="2495550"/>
            <wp:effectExtent l="0" t="0" r="0" b="0"/>
            <wp:docPr id="12289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7047" name=""/>
                    <pic:cNvPicPr/>
                  </pic:nvPicPr>
                  <pic:blipFill>
                    <a:blip r:embed="rId16"/>
                    <a:stretch>
                      <a:fillRect/>
                    </a:stretch>
                  </pic:blipFill>
                  <pic:spPr>
                    <a:xfrm>
                      <a:off x="0" y="0"/>
                      <a:ext cx="5569727" cy="2495898"/>
                    </a:xfrm>
                    <a:prstGeom prst="rect">
                      <a:avLst/>
                    </a:prstGeom>
                  </pic:spPr>
                </pic:pic>
              </a:graphicData>
            </a:graphic>
          </wp:inline>
        </w:drawing>
      </w:r>
    </w:p>
    <w:p w14:paraId="2A509A43" w14:textId="204807B2" w:rsidR="000A09FF" w:rsidRDefault="000A09FF" w:rsidP="000A09FF">
      <w:r>
        <w:rPr>
          <w:rFonts w:ascii="Calibri" w:hAnsi="Calibri"/>
          <w:i/>
          <w:iCs/>
          <w:sz w:val="22"/>
        </w:rPr>
        <w:t>Figure 4.2: Monthly no-helmet fines trend, 2019–2024</w:t>
      </w:r>
    </w:p>
    <w:p w14:paraId="1A3D2258" w14:textId="77777777" w:rsidR="00185C10" w:rsidRDefault="00185C10" w:rsidP="00185C10">
      <w:pPr>
        <w:spacing w:before="120" w:after="120"/>
      </w:pPr>
      <w:r>
        <w:rPr>
          <w:b/>
          <w:bCs/>
        </w:rPr>
        <w:t>Key observations:</w:t>
      </w:r>
    </w:p>
    <w:p w14:paraId="365B4038" w14:textId="77777777" w:rsidR="00185C10" w:rsidRDefault="00185C10" w:rsidP="00185C10">
      <w:pPr>
        <w:spacing w:before="60" w:after="120"/>
      </w:pPr>
      <w:r>
        <w:t>• Two structural shifts shape the 2019–2024 pattern. First, no-helmet fines dropped 87% between 2020 (3,254) and 2021 (424), uniformly across all 12 months of 2021 — a signal too large for enforcement intensity alone. Second, the share of no-helmet fines within total e-scooter fines changed substantially over time: 81% in 2019, 91% in 2020, falling to 39% in 2021, and recovering to 43–61% in 2022–2024. This second shift predates the 2022 amendment and reflects both growing compliance with the helmet rule and expanding enforcement of other violations.</w:t>
      </w:r>
    </w:p>
    <w:p w14:paraId="65BB6B4D" w14:textId="77777777" w:rsidR="00185C10" w:rsidRDefault="00185C10" w:rsidP="00185C10">
      <w:pPr>
        <w:spacing w:before="240" w:after="120"/>
      </w:pPr>
      <w:r>
        <w:rPr>
          <w:b/>
          <w:bCs/>
        </w:rPr>
        <w:t>Two mechanisms drove the 2021 drop:</w:t>
      </w:r>
    </w:p>
    <w:p w14:paraId="62104356" w14:textId="77777777" w:rsidR="00185C10" w:rsidRDefault="00185C10" w:rsidP="00185C10">
      <w:pPr>
        <w:spacing w:after="120"/>
      </w:pPr>
      <w:r>
        <w:t>Both mechanisms are visible in the monthly data, which shows an immediate and uniform collapse across all 12 months of 2021 rather than a gradual decline:</w:t>
      </w:r>
    </w:p>
    <w:p w14:paraId="24F41655" w14:textId="77777777" w:rsidR="00185C10" w:rsidRDefault="00185C10" w:rsidP="00185C10">
      <w:pPr>
        <w:spacing w:before="60" w:after="60"/>
      </w:pPr>
      <w:r>
        <w:t>• Police redeployment (COVID-19): Israel's third national lockdown (December 2020 – February 2021) diverted police resources to pandemic enforcement — gathering limits, mask compliance, movement restrictions. Traffic enforcement, including e-scooter helmet fines, became secondary. This explains the speed and uniformity of the drop.</w:t>
      </w:r>
    </w:p>
    <w:p w14:paraId="4309776C" w14:textId="77777777" w:rsidR="00185C10" w:rsidRDefault="00185C10" w:rsidP="00185C10">
      <w:pPr>
        <w:spacing w:before="60" w:after="60"/>
      </w:pPr>
      <w:r>
        <w:t>• Genuine behavioral change: Simultaneously, the January 2019 helmet law had been in force for two full years, and shared operators were required from January 2021 to provide helmets with rentals. Survey data confirms the compliance shift was real — the ‘always’ rate rose from 22% (2019) to 33% (2021). The enforcement drop thus reflects fewer violations to fine, not just fewer patrols.</w:t>
      </w:r>
    </w:p>
    <w:p w14:paraId="5D373B15" w14:textId="08C686A7" w:rsidR="00185C10" w:rsidRDefault="00185C10" w:rsidP="00185C10">
      <w:pPr>
        <w:spacing w:before="60" w:after="120"/>
      </w:pPr>
      <w:r>
        <w:t>A third structural factor, separate from 2021: the 2022 amendment did not introduce new offences but significantly expanded enforcement authority, enabling municipal inspectors to issue fines for helmet violations, underage riding, passenger carrying, phone use, and traffic sign violations. As a result, total e-scooter fines grew while no-helmet fines remained subdued — the no-helmet share fell from 91% (2020) to 39–43% (2021–2022), rising only modestly to 51–61% through 2023–2024.</w:t>
      </w:r>
    </w:p>
    <w:p w14:paraId="2AE26E18" w14:textId="77777777" w:rsidR="00185C10" w:rsidRDefault="00185C10" w:rsidP="00185C10">
      <w:pPr>
        <w:pBdr>
          <w:left w:val="single" w:sz="12" w:space="0" w:color="C55A11"/>
        </w:pBdr>
        <w:shd w:val="clear" w:color="auto" w:fill="EBF3FB"/>
        <w:spacing w:before="240" w:after="240"/>
        <w:ind w:left="180"/>
      </w:pPr>
      <w:r>
        <w:rPr>
          <w:i/>
          <w:iCs/>
        </w:rPr>
        <w:t>Key insight: The 2021 collapse in no-helmet fines reflects two simultaneous forces — COVID-19 police redeployment reducing patrols, and genuine behavioral change as the 2019 law took hold. The 2022 amendment then reshaped the enforcement landscape by adding municipal inspectors and broadening the fine scope beyond helmets, so the no-helmet share of total fines has never returned to its pre-2021 dominance (91% in 2020 vs 43–</w:t>
      </w:r>
      <w:r>
        <w:rPr>
          <w:i/>
          <w:iCs/>
        </w:rPr>
        <w:lastRenderedPageBreak/>
        <w:t>61% in 2022–2024). Reading raw no-helmet fine counts as a compliance signal requires accounting for all three layers: COVID disruption, behavioral change, and the expanding enforcement base.</w:t>
      </w:r>
    </w:p>
    <w:p w14:paraId="74D437C9" w14:textId="1D66A8B6" w:rsidR="000A09FF" w:rsidRDefault="00185C10" w:rsidP="000A09FF">
      <w:pPr>
        <w:pStyle w:val="Heading2"/>
        <w:spacing w:before="480" w:after="240"/>
        <w:rPr>
          <w:b/>
          <w:bCs/>
          <w:color w:val="1F4E79"/>
          <w:sz w:val="28"/>
          <w:szCs w:val="28"/>
        </w:rPr>
      </w:pPr>
      <w:r>
        <w:rPr>
          <w:b/>
          <w:bCs/>
          <w:color w:val="1F4E79"/>
          <w:sz w:val="28"/>
          <w:szCs w:val="28"/>
        </w:rPr>
        <w:t>4.3 Day-of-Week Distribution</w:t>
      </w:r>
    </w:p>
    <w:p w14:paraId="489C4D5F" w14:textId="77777777" w:rsidR="008C1AD5" w:rsidRDefault="008C1AD5" w:rsidP="006E7DA6">
      <w:pPr>
        <w:jc w:val="center"/>
        <w:rPr>
          <w:rFonts w:ascii="Calibri" w:hAnsi="Calibri"/>
          <w:b/>
          <w:bCs/>
          <w:sz w:val="22"/>
        </w:rPr>
      </w:pPr>
      <w:r>
        <w:rPr>
          <w:rFonts w:ascii="Calibri" w:hAnsi="Calibri"/>
          <w:b/>
          <w:bCs/>
          <w:sz w:val="22"/>
        </w:rPr>
        <w:t>Enforcement by Day of Week</w:t>
      </w:r>
    </w:p>
    <w:p w14:paraId="63B51E7F" w14:textId="365FE4F9" w:rsidR="000A09FF" w:rsidRDefault="000A09FF" w:rsidP="008C1AD5">
      <w:r>
        <w:rPr>
          <w:b/>
          <w:bCs/>
          <w:noProof/>
          <w:color w:val="1F4E79"/>
          <w:sz w:val="28"/>
          <w:szCs w:val="28"/>
        </w:rPr>
        <w:drawing>
          <wp:inline distT="0" distB="0" distL="0" distR="0" wp14:anchorId="17E00172" wp14:editId="0A96D166">
            <wp:extent cx="5943600" cy="2935605"/>
            <wp:effectExtent l="0" t="0" r="0" b="0"/>
            <wp:docPr id="119701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55702E3A" w14:textId="77777777" w:rsidR="008C1AD5" w:rsidRDefault="008C1AD5" w:rsidP="008C1AD5">
      <w:pPr>
        <w:rPr>
          <w:rFonts w:ascii="Calibri" w:hAnsi="Calibri"/>
          <w:i/>
          <w:iCs/>
          <w:sz w:val="22"/>
        </w:rPr>
      </w:pPr>
      <w:r>
        <w:rPr>
          <w:rFonts w:ascii="Calibri" w:hAnsi="Calibri"/>
          <w:i/>
          <w:iCs/>
          <w:sz w:val="22"/>
        </w:rPr>
        <w:t>Figure 4.2b: No-helmet fines by day of week, 2019–2024</w:t>
      </w:r>
    </w:p>
    <w:p w14:paraId="658F338A" w14:textId="77777777" w:rsidR="006E7DA6" w:rsidRDefault="006E7DA6" w:rsidP="008C1AD5"/>
    <w:p w14:paraId="56F3B3C9" w14:textId="77777777" w:rsidR="00DA27D3" w:rsidRPr="000A09FF" w:rsidRDefault="00DA27D3" w:rsidP="00DA27D3">
      <w:pPr>
        <w:spacing w:after="120"/>
        <w:rPr>
          <w:rFonts w:ascii="Calibri" w:hAnsi="Calibri"/>
          <w:sz w:val="22"/>
        </w:rPr>
      </w:pPr>
      <w:r>
        <w:rPr>
          <w:rFonts w:ascii="Calibri" w:hAnsi="Calibri"/>
          <w:sz w:val="22"/>
        </w:rPr>
        <w:t>Enforcement shows a systematic weekly pattern:</w:t>
      </w:r>
    </w:p>
    <w:p w14:paraId="5E45185C" w14:textId="77777777" w:rsidR="00DA27D3" w:rsidRPr="000A09FF" w:rsidRDefault="00DA27D3" w:rsidP="00DA27D3">
      <w:pPr>
        <w:spacing w:before="60" w:after="60"/>
        <w:rPr>
          <w:rFonts w:ascii="Calibri" w:hAnsi="Calibri"/>
          <w:sz w:val="22"/>
        </w:rPr>
      </w:pPr>
      <w:r>
        <w:rPr>
          <w:rFonts w:ascii="Calibri" w:hAnsi="Calibri"/>
          <w:sz w:val="22"/>
        </w:rPr>
        <w:t>• Weekdays (Sun–Thu): 83% of all fines (6,227 of 7,561 total)</w:t>
      </w:r>
    </w:p>
    <w:p w14:paraId="1BC4624F" w14:textId="77777777" w:rsidR="00DA27D3" w:rsidRPr="000A09FF" w:rsidRDefault="00DA27D3" w:rsidP="00DA27D3">
      <w:pPr>
        <w:spacing w:before="60" w:after="60"/>
        <w:rPr>
          <w:rFonts w:ascii="Calibri" w:hAnsi="Calibri"/>
          <w:sz w:val="22"/>
        </w:rPr>
      </w:pPr>
      <w:r>
        <w:rPr>
          <w:rFonts w:ascii="Calibri" w:hAnsi="Calibri"/>
          <w:sz w:val="22"/>
        </w:rPr>
        <w:t>• Weekend (Fri–Sat): 17% of all fines (934 of 7,561 total)</w:t>
      </w:r>
    </w:p>
    <w:p w14:paraId="57FC1EDB" w14:textId="77777777" w:rsidR="00DA27D3" w:rsidRPr="000A09FF" w:rsidRDefault="00DA27D3" w:rsidP="00DA27D3">
      <w:pPr>
        <w:spacing w:before="60" w:after="60"/>
        <w:rPr>
          <w:rFonts w:ascii="Calibri" w:hAnsi="Calibri"/>
          <w:sz w:val="22"/>
        </w:rPr>
      </w:pPr>
      <w:r>
        <w:rPr>
          <w:rFonts w:ascii="Calibri" w:hAnsi="Calibri"/>
          <w:sz w:val="22"/>
        </w:rPr>
        <w:t>• Monday peak: 1,576 fines (20.8%) — highest enforcement day</w:t>
      </w:r>
    </w:p>
    <w:p w14:paraId="7E388D33" w14:textId="77777777" w:rsidR="00DA27D3" w:rsidRPr="000A09FF" w:rsidRDefault="00DA27D3" w:rsidP="00DA27D3">
      <w:pPr>
        <w:spacing w:before="60" w:after="60"/>
        <w:rPr>
          <w:rFonts w:ascii="Calibri" w:hAnsi="Calibri"/>
          <w:sz w:val="22"/>
        </w:rPr>
      </w:pPr>
      <w:r>
        <w:rPr>
          <w:rFonts w:ascii="Calibri" w:hAnsi="Calibri"/>
          <w:sz w:val="22"/>
        </w:rPr>
        <w:t>• Saturday low: 382 fines (5.1%) — lowest enforcement day</w:t>
      </w:r>
    </w:p>
    <w:p w14:paraId="5A8DCEF8" w14:textId="77777777" w:rsidR="00DA27D3" w:rsidRDefault="00DA27D3" w:rsidP="00DA27D3">
      <w:pPr>
        <w:spacing w:before="60" w:after="240"/>
        <w:rPr>
          <w:rFonts w:ascii="Calibri" w:hAnsi="Calibri"/>
          <w:sz w:val="22"/>
        </w:rPr>
      </w:pPr>
      <w:r>
        <w:rPr>
          <w:rFonts w:ascii="Calibri" w:hAnsi="Calibri"/>
          <w:sz w:val="22"/>
        </w:rPr>
        <w:t>• Monday is 4.1× Saturday</w:t>
      </w:r>
    </w:p>
    <w:p w14:paraId="10E238AE" w14:textId="77777777" w:rsidR="00DA27D3" w:rsidRPr="00DA27D3" w:rsidRDefault="00DA27D3" w:rsidP="00DA27D3">
      <w:pPr>
        <w:spacing w:before="60" w:after="240"/>
        <w:rPr>
          <w:rFonts w:ascii="Calibri" w:hAnsi="Calibri"/>
          <w:sz w:val="22"/>
        </w:rPr>
      </w:pPr>
      <w:r>
        <w:rPr>
          <w:rFonts w:ascii="Calibri" w:hAnsi="Calibri"/>
          <w:b/>
          <w:bCs/>
          <w:sz w:val="22"/>
        </w:rPr>
        <w:t>Statistical Test:</w:t>
      </w:r>
      <w:r>
        <w:rPr>
          <w:rFonts w:ascii="Calibri" w:hAnsi="Calibri"/>
          <w:sz w:val="22"/>
        </w:rPr>
        <w:t xml:space="preserve"> Chi-square goodness of fit: χ² = 1,247.6, p &lt; 0.001 (highly significant)</w:t>
      </w:r>
    </w:p>
    <w:p w14:paraId="51A5159F" w14:textId="13F172F6" w:rsidR="00DA27D3" w:rsidRPr="00DA27D3" w:rsidRDefault="00DA27D3" w:rsidP="00DA27D3">
      <w:pPr>
        <w:spacing w:before="60" w:after="240"/>
        <w:rPr>
          <w:rFonts w:ascii="Calibri" w:hAnsi="Calibri"/>
          <w:sz w:val="22"/>
        </w:rPr>
      </w:pPr>
      <w:r>
        <w:rPr>
          <w:rFonts w:ascii="Calibri" w:hAnsi="Calibri"/>
          <w:b/>
          <w:bCs/>
          <w:sz w:val="22"/>
        </w:rPr>
        <w:t xml:space="preserve">Interpretation: </w:t>
      </w:r>
      <w:r>
        <w:rPr>
          <w:rFonts w:ascii="Calibri" w:hAnsi="Calibri"/>
          <w:sz w:val="22"/>
        </w:rPr>
        <w:t>The skew reflects patrol deployment schedules rather than a meaningful compliance gap between weekday and weekend riders. Monday carries 20.8% fines versus Saturday’s 5.1%, a 4.1× ratio that points squarely at enforcement staffing patterns. Fines data therefore captures when police patrol, not when riders stop wearing helmets. Weekend compliance may be systematically under-enforced: the 20–21% non-compliant minority identified from fine data is largely a weekday enforcement window phenomenon, and actual non-compliance on weekends and evenings could be higher.</w:t>
      </w:r>
    </w:p>
    <w:p w14:paraId="182742B8" w14:textId="1F9CF1C1" w:rsidR="00185C10" w:rsidRDefault="00185C10" w:rsidP="00185C10">
      <w:pPr>
        <w:pStyle w:val="Heading2"/>
        <w:spacing w:before="480" w:after="240"/>
        <w:rPr>
          <w:b/>
          <w:bCs/>
          <w:color w:val="1F4E79"/>
          <w:sz w:val="28"/>
          <w:szCs w:val="28"/>
        </w:rPr>
      </w:pPr>
      <w:r>
        <w:rPr>
          <w:b/>
          <w:bCs/>
          <w:color w:val="1F4E79"/>
          <w:sz w:val="28"/>
          <w:szCs w:val="28"/>
        </w:rPr>
        <w:t>4.4 Age Distribution</w:t>
      </w:r>
    </w:p>
    <w:p w14:paraId="2E34242E" w14:textId="19ED19B2" w:rsidR="00CC18D4" w:rsidRPr="00DA27D3" w:rsidRDefault="00CC18D4" w:rsidP="00DA27D3">
      <w:pPr>
        <w:jc w:val="center"/>
        <w:rPr>
          <w:b/>
          <w:bCs/>
        </w:rPr>
      </w:pPr>
      <w:r>
        <w:rPr>
          <w:b/>
          <w:bCs/>
        </w:rPr>
        <w:t>No-Helmet Fines by Age Group</w:t>
      </w:r>
    </w:p>
    <w:p w14:paraId="3DFA2D8E" w14:textId="77CA7708" w:rsidR="00DA27D3" w:rsidRPr="00386907" w:rsidRDefault="00EF60F6" w:rsidP="00386907">
      <w:pPr>
        <w:pStyle w:val="Heading2"/>
        <w:spacing w:before="480" w:after="240"/>
        <w:jc w:val="center"/>
        <w:rPr>
          <w:rStyle w:val="SubtleEmphasis"/>
          <w:i w:val="0"/>
          <w:iCs w:val="0"/>
          <w:noProof/>
          <w:color w:val="2E74B5"/>
        </w:rPr>
      </w:pPr>
      <w:r>
        <w:rPr>
          <w:noProof/>
        </w:rPr>
        <w:lastRenderedPageBreak/>
        <w:drawing>
          <wp:inline distT="0" distB="0" distL="0" distR="0" wp14:anchorId="3A6F0CEE" wp14:editId="530DB9FC">
            <wp:extent cx="4969565" cy="2531745"/>
            <wp:effectExtent l="0" t="0" r="2540" b="1905"/>
            <wp:docPr id="204751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0360" cy="2542339"/>
                    </a:xfrm>
                    <a:prstGeom prst="rect">
                      <a:avLst/>
                    </a:prstGeom>
                    <a:noFill/>
                    <a:ln>
                      <a:noFill/>
                    </a:ln>
                  </pic:spPr>
                </pic:pic>
              </a:graphicData>
            </a:graphic>
          </wp:inline>
        </w:drawing>
      </w:r>
    </w:p>
    <w:p w14:paraId="1C94314E" w14:textId="52DEE885" w:rsidR="000A09FF" w:rsidRPr="00CC18D4" w:rsidRDefault="00CC18D4" w:rsidP="00DA27D3">
      <w:pPr>
        <w:jc w:val="center"/>
      </w:pPr>
      <w:r>
        <w:rPr>
          <w:rStyle w:val="SubtleEmphasis"/>
        </w:rPr>
        <w:t>Figure 4.3: No-helmet fines by age group (unknown excluded), 2019–2024</w:t>
      </w:r>
    </w:p>
    <w:p w14:paraId="232EBFA7" w14:textId="77777777" w:rsidR="00EF60F6" w:rsidRPr="00D64E7A" w:rsidRDefault="00EF60F6" w:rsidP="00EF60F6">
      <w:pPr>
        <w:spacing w:after="240"/>
        <w:rPr>
          <w:rFonts w:ascii="Calibri" w:hAnsi="Calibri"/>
          <w:sz w:val="22"/>
        </w:rPr>
      </w:pPr>
      <w:r>
        <w:rPr>
          <w:rFonts w:ascii="Calibri" w:hAnsi="Calibri"/>
          <w:b/>
          <w:bCs/>
          <w:sz w:val="22"/>
        </w:rPr>
        <w:t>A chi-square goodness of fit</w:t>
      </w:r>
      <w:r>
        <w:rPr>
          <w:rFonts w:ascii="Calibri" w:hAnsi="Calibri"/>
          <w:sz w:val="22"/>
        </w:rPr>
        <w:t xml:space="preserve"> test revealed that no-helmet fines are not uniformly distributed across age groups (χ²(4) = 3090.07, p &lt; 0.001, Cramér's V = 0.663). </w:t>
      </w:r>
    </w:p>
    <w:p w14:paraId="5BEE764C" w14:textId="77777777" w:rsidR="00386907" w:rsidRPr="00D64E7A" w:rsidRDefault="00EF60F6" w:rsidP="00EF60F6">
      <w:pPr>
        <w:spacing w:after="240"/>
        <w:rPr>
          <w:rFonts w:ascii="Calibri" w:hAnsi="Calibri"/>
          <w:sz w:val="22"/>
        </w:rPr>
      </w:pPr>
      <w:r>
        <w:rPr>
          <w:rFonts w:ascii="Calibri" w:hAnsi="Calibri"/>
          <w:sz w:val="22"/>
        </w:rPr>
        <w:t xml:space="preserve">Middle-aged riders (24-43 years) received the vast majority of violations (68.4% of all fines), with the 24-29 age group alone receiving 35.3%. In contrast, younger riders (0-16) and older riders (44-73) accounted for only 9.5% of violations combined. This distribution likely reflects both ridership patterns—middle-aged adults are the primary e-scooter users—and enforcement priorities in high-density areas. The notably low number of fines issued to minors under 16 (220 fines, 3.1%) is striking given that this age group is legally prohibited from riding e-scooters entirely. </w:t>
      </w:r>
    </w:p>
    <w:p w14:paraId="28579DAD" w14:textId="628FE5BA" w:rsidR="00386907" w:rsidRPr="00A12799" w:rsidRDefault="00A12799" w:rsidP="00A12799">
      <w:pPr>
        <w:jc w:val="center"/>
        <w:rPr>
          <w:b/>
          <w:bCs/>
        </w:rPr>
      </w:pPr>
      <w:r>
        <w:rPr>
          <w:b/>
          <w:bCs/>
        </w:rPr>
        <w:t>Shifting Age Demographics in No-Helmet Enforcement (2019-2024)</w:t>
      </w:r>
    </w:p>
    <w:p w14:paraId="63554292" w14:textId="2D457035" w:rsidR="00CC18D4" w:rsidRDefault="00386907" w:rsidP="00EF60F6">
      <w:pPr>
        <w:spacing w:after="240"/>
      </w:pPr>
      <w:r>
        <w:rPr>
          <w:noProof/>
        </w:rPr>
        <w:drawing>
          <wp:inline distT="0" distB="0" distL="0" distR="0" wp14:anchorId="088452EA" wp14:editId="576D98E6">
            <wp:extent cx="5048955" cy="3019846"/>
            <wp:effectExtent l="0" t="0" r="0" b="9525"/>
            <wp:docPr id="159862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9697" name=""/>
                    <pic:cNvPicPr/>
                  </pic:nvPicPr>
                  <pic:blipFill>
                    <a:blip r:embed="rId19"/>
                    <a:stretch>
                      <a:fillRect/>
                    </a:stretch>
                  </pic:blipFill>
                  <pic:spPr>
                    <a:xfrm>
                      <a:off x="0" y="0"/>
                      <a:ext cx="5048955" cy="3019846"/>
                    </a:xfrm>
                    <a:prstGeom prst="rect">
                      <a:avLst/>
                    </a:prstGeom>
                  </pic:spPr>
                </pic:pic>
              </a:graphicData>
            </a:graphic>
          </wp:inline>
        </w:drawing>
      </w:r>
    </w:p>
    <w:p w14:paraId="12B7F249" w14:textId="3C45B609" w:rsidR="00D64E7A" w:rsidRPr="00D64E7A" w:rsidRDefault="00D64E7A" w:rsidP="00D64E7A">
      <w:pPr>
        <w:spacing w:after="240"/>
        <w:jc w:val="center"/>
        <w:rPr>
          <w:i/>
          <w:iCs/>
        </w:rPr>
      </w:pPr>
      <w:r>
        <w:rPr>
          <w:i/>
          <w:iCs/>
        </w:rPr>
        <w:t>Figure 4.4: Age distribution of no-helmet fines over time, 2019–2024</w:t>
      </w:r>
    </w:p>
    <w:p w14:paraId="726AB392" w14:textId="13E9FDBD" w:rsidR="00A12799" w:rsidRPr="00D64E7A" w:rsidRDefault="00A12799" w:rsidP="00A12799">
      <w:pPr>
        <w:spacing w:after="240"/>
        <w:rPr>
          <w:rFonts w:ascii="Calibri" w:hAnsi="Calibri"/>
          <w:sz w:val="22"/>
        </w:rPr>
      </w:pPr>
      <w:r>
        <w:rPr>
          <w:rFonts w:ascii="Calibri" w:hAnsi="Calibri"/>
          <w:sz w:val="22"/>
        </w:rPr>
        <w:lastRenderedPageBreak/>
        <w:t>Key trends:</w:t>
      </w:r>
    </w:p>
    <w:p w14:paraId="3425158A" w14:textId="77777777" w:rsidR="00D64E7A" w:rsidRDefault="00A12799" w:rsidP="00D64E7A">
      <w:pPr>
        <w:spacing w:before="60" w:after="60"/>
        <w:rPr>
          <w:rFonts w:ascii="Calibri" w:hAnsi="Calibri"/>
          <w:sz w:val="22"/>
        </w:rPr>
      </w:pPr>
      <w:r>
        <w:rPr>
          <w:rFonts w:ascii="Calibri" w:hAnsi="Calibri"/>
          <w:sz w:val="22"/>
        </w:rPr>
        <w:t>• The 24-29 age group, which dominated enforcement in 2019 (39.2% of fines), declined to 29.5% by 2024—a loss of nearly 10 percentage points</w:t>
      </w:r>
    </w:p>
    <w:p w14:paraId="4A9D00B9" w14:textId="0634D6E7" w:rsidR="00A12799" w:rsidRPr="00D64E7A" w:rsidRDefault="00A12799" w:rsidP="00D64E7A">
      <w:pPr>
        <w:spacing w:before="60" w:after="60"/>
        <w:rPr>
          <w:rFonts w:ascii="Calibri" w:hAnsi="Calibri"/>
          <w:sz w:val="22"/>
        </w:rPr>
      </w:pPr>
      <w:r>
        <w:rPr>
          <w:rFonts w:ascii="Calibri" w:hAnsi="Calibri"/>
          <w:sz w:val="22"/>
        </w:rPr>
        <w:t>• Middle-aged riders (24-43 years) still accounted for 68.4% of all fines (4,805 fines) across the study period</w:t>
      </w:r>
    </w:p>
    <w:p w14:paraId="04318B7C" w14:textId="77777777" w:rsidR="00A12799" w:rsidRPr="00D64E7A" w:rsidRDefault="00A12799" w:rsidP="00D64E7A">
      <w:pPr>
        <w:spacing w:before="60" w:after="60"/>
        <w:rPr>
          <w:rFonts w:ascii="Calibri" w:hAnsi="Calibri"/>
          <w:sz w:val="22"/>
        </w:rPr>
      </w:pPr>
      <w:r>
        <w:rPr>
          <w:rFonts w:ascii="Calibri" w:hAnsi="Calibri"/>
          <w:sz w:val="22"/>
        </w:rPr>
        <w:t>• Younger riders (0-16) showed explosive growth from 1.5% to 6.7% (4.5-fold increase in share)</w:t>
      </w:r>
    </w:p>
    <w:p w14:paraId="7BC0C918" w14:textId="77777777" w:rsidR="00A12799" w:rsidRPr="00D64E7A" w:rsidRDefault="00A12799" w:rsidP="00D64E7A">
      <w:pPr>
        <w:spacing w:before="60" w:after="60"/>
        <w:rPr>
          <w:rFonts w:ascii="Calibri" w:hAnsi="Calibri"/>
          <w:sz w:val="22"/>
        </w:rPr>
      </w:pPr>
      <w:r>
        <w:rPr>
          <w:rFonts w:ascii="Calibri" w:hAnsi="Calibri"/>
          <w:sz w:val="22"/>
        </w:rPr>
        <w:t>• Older riders (44-73) grew modestly from 6.2% to 7.8%</w:t>
      </w:r>
    </w:p>
    <w:p w14:paraId="5A3FD2DD" w14:textId="5C5FCEDD" w:rsidR="00A12799" w:rsidRPr="00D64E7A" w:rsidRDefault="00A12799" w:rsidP="00D64E7A">
      <w:pPr>
        <w:spacing w:before="60" w:after="60"/>
        <w:rPr>
          <w:rFonts w:ascii="Calibri" w:hAnsi="Calibri"/>
          <w:sz w:val="22"/>
        </w:rPr>
      </w:pPr>
      <w:r>
        <w:rPr>
          <w:rFonts w:ascii="Calibri" w:hAnsi="Calibri"/>
          <w:sz w:val="22"/>
        </w:rPr>
        <w:t>• The 17-23 group expanded from 19.3% to 23.1%</w:t>
      </w:r>
    </w:p>
    <w:p w14:paraId="5D894558" w14:textId="77777777" w:rsidR="00A12799" w:rsidRPr="00D64E7A" w:rsidRDefault="00A12799" w:rsidP="00A12799">
      <w:pPr>
        <w:spacing w:after="240"/>
        <w:rPr>
          <w:rFonts w:ascii="Calibri" w:hAnsi="Calibri"/>
          <w:sz w:val="22"/>
        </w:rPr>
      </w:pPr>
      <w:r>
        <w:rPr>
          <w:rFonts w:ascii="Calibri" w:hAnsi="Calibri"/>
          <w:sz w:val="22"/>
        </w:rPr>
        <w:t>Interpretation:</w:t>
      </w:r>
    </w:p>
    <w:p w14:paraId="763631BC" w14:textId="77777777" w:rsidR="00A12799" w:rsidRPr="00D64E7A" w:rsidRDefault="00A12799" w:rsidP="00D64E7A">
      <w:pPr>
        <w:spacing w:before="60" w:after="60"/>
        <w:rPr>
          <w:rFonts w:ascii="Calibri" w:hAnsi="Calibri"/>
          <w:sz w:val="22"/>
        </w:rPr>
      </w:pPr>
      <w:r>
        <w:rPr>
          <w:rFonts w:ascii="Calibri" w:hAnsi="Calibri"/>
          <w:sz w:val="22"/>
        </w:rPr>
        <w:t>• These shifts suggest either changing enforcement priorities, evolving ridership demographics, or differential compliance patterns across age groups</w:t>
      </w:r>
    </w:p>
    <w:p w14:paraId="60BC9259" w14:textId="2BA7B88D" w:rsidR="00CC18D4" w:rsidRPr="00D64E7A" w:rsidRDefault="00A12799" w:rsidP="00D64E7A">
      <w:pPr>
        <w:spacing w:before="60" w:after="60"/>
        <w:rPr>
          <w:rFonts w:ascii="Calibri" w:hAnsi="Calibri"/>
          <w:sz w:val="22"/>
        </w:rPr>
      </w:pPr>
      <w:r>
        <w:rPr>
          <w:rFonts w:ascii="Calibri" w:hAnsi="Calibri"/>
          <w:sz w:val="22"/>
        </w:rPr>
        <w:t>• The rapid growth in under-16 fines raises concerns about illegal underage riding and enforcement gaps, particularly given that this age group is legally prohibited from riding e-scooters</w:t>
      </w:r>
    </w:p>
    <w:p w14:paraId="67B7A650" w14:textId="292D0A0F" w:rsidR="00185C10" w:rsidRDefault="00185C10" w:rsidP="00185C10">
      <w:pPr>
        <w:pStyle w:val="Heading2"/>
        <w:spacing w:before="480" w:after="240"/>
        <w:rPr>
          <w:b/>
          <w:bCs/>
          <w:color w:val="1F4E79"/>
          <w:sz w:val="28"/>
          <w:szCs w:val="28"/>
        </w:rPr>
      </w:pPr>
      <w:r>
        <w:rPr>
          <w:b/>
          <w:bCs/>
          <w:color w:val="1F4E79"/>
          <w:sz w:val="28"/>
          <w:szCs w:val="28"/>
        </w:rPr>
        <w:t>4.5 Gender Distribution</w:t>
      </w:r>
    </w:p>
    <w:p w14:paraId="269CDA31" w14:textId="47CE6329" w:rsidR="00623F87" w:rsidRPr="00A12799" w:rsidRDefault="00623F87" w:rsidP="00A12799">
      <w:pPr>
        <w:jc w:val="center"/>
        <w:rPr>
          <w:b/>
          <w:bCs/>
        </w:rPr>
      </w:pPr>
      <w:r>
        <w:rPr>
          <w:b/>
          <w:bCs/>
        </w:rPr>
        <w:t>No -Helmet Fines by Gender over Years</w:t>
      </w:r>
    </w:p>
    <w:p w14:paraId="7048D03E" w14:textId="64E5D115" w:rsidR="006E7DA6" w:rsidRPr="006E7DA6" w:rsidRDefault="00CC18D4" w:rsidP="00623F87">
      <w:pPr>
        <w:spacing w:after="120"/>
      </w:pPr>
      <w:r>
        <w:rPr>
          <w:noProof/>
        </w:rPr>
        <w:drawing>
          <wp:inline distT="0" distB="0" distL="0" distR="0" wp14:anchorId="12370B18" wp14:editId="2FDE9F6C">
            <wp:extent cx="5943600" cy="2922270"/>
            <wp:effectExtent l="0" t="0" r="0" b="0"/>
            <wp:docPr id="906270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2F5B7D81" w14:textId="5A114DE3" w:rsidR="00623F87" w:rsidRPr="00623F87" w:rsidRDefault="00CC18D4" w:rsidP="00623F87">
      <w:pPr>
        <w:rPr>
          <w:rFonts w:ascii="Calibri" w:hAnsi="Calibri"/>
          <w:sz w:val="22"/>
        </w:rPr>
      </w:pPr>
      <w:r>
        <w:rPr>
          <w:rFonts w:ascii="Calibri" w:hAnsi="Calibri"/>
          <w:i/>
          <w:iCs/>
          <w:sz w:val="22"/>
        </w:rPr>
        <w:t>Figure 4.5: Gender distribution of no-helmet fines, 2019–2024</w:t>
      </w:r>
      <w:r>
        <w:rPr>
          <w:rFonts w:ascii="Calibri" w:hAnsi="Calibri"/>
          <w:i/>
          <w:iCs/>
          <w:sz w:val="22"/>
        </w:rPr>
        <w:br/>
      </w:r>
      <w:r>
        <w:rPr>
          <w:rFonts w:ascii="Calibri" w:hAnsi="Calibri"/>
          <w:b/>
          <w:bCs/>
          <w:sz w:val="22"/>
        </w:rPr>
        <w:t>Statistical Test (Gender Difference):</w:t>
      </w:r>
      <w:r>
        <w:rPr>
          <w:rFonts w:ascii="Calibri" w:hAnsi="Calibri"/>
          <w:sz w:val="22"/>
        </w:rPr>
        <w:br/>
        <w:t xml:space="preserve">Chi-square test: χ² = 4,093.55, </w:t>
      </w:r>
      <w:proofErr w:type="spellStart"/>
      <w:r>
        <w:rPr>
          <w:rFonts w:ascii="Calibri" w:hAnsi="Calibri"/>
          <w:sz w:val="22"/>
        </w:rPr>
        <w:t>df</w:t>
      </w:r>
      <w:proofErr w:type="spellEnd"/>
      <w:r>
        <w:rPr>
          <w:rFonts w:ascii="Calibri" w:hAnsi="Calibri"/>
          <w:sz w:val="22"/>
        </w:rPr>
        <w:t xml:space="preserve"> = 5, p &lt; 0.001</w:t>
      </w:r>
    </w:p>
    <w:p w14:paraId="63EA95C1" w14:textId="77777777" w:rsidR="00623F87" w:rsidRPr="00623F87" w:rsidRDefault="00623F87" w:rsidP="00623F87">
      <w:pPr>
        <w:rPr>
          <w:rFonts w:ascii="Calibri" w:hAnsi="Calibri"/>
          <w:sz w:val="22"/>
        </w:rPr>
      </w:pPr>
      <w:r>
        <w:rPr>
          <w:rFonts w:ascii="Calibri" w:hAnsi="Calibri"/>
          <w:b/>
          <w:bCs/>
          <w:sz w:val="22"/>
        </w:rPr>
        <w:t>Null hypothesis (H₀):</w:t>
      </w:r>
      <w:r>
        <w:rPr>
          <w:rFonts w:ascii="Calibri" w:hAnsi="Calibri"/>
          <w:sz w:val="22"/>
        </w:rPr>
        <w:t xml:space="preserve"> E-scooter helmet enforcement fines are evenly distributed between male and female riders across all years (2019–2024).</w:t>
      </w:r>
    </w:p>
    <w:p w14:paraId="397FE96D" w14:textId="77777777" w:rsidR="00623F87" w:rsidRPr="00623F87" w:rsidRDefault="00623F87" w:rsidP="00623F87">
      <w:pPr>
        <w:rPr>
          <w:rFonts w:ascii="Calibri" w:hAnsi="Calibri"/>
          <w:sz w:val="22"/>
        </w:rPr>
      </w:pPr>
      <w:r>
        <w:rPr>
          <w:rFonts w:ascii="Calibri" w:hAnsi="Calibri"/>
          <w:b/>
          <w:bCs/>
          <w:sz w:val="22"/>
        </w:rPr>
        <w:t>Result:</w:t>
      </w:r>
      <w:r>
        <w:rPr>
          <w:rFonts w:ascii="Calibri" w:hAnsi="Calibri"/>
          <w:sz w:val="22"/>
        </w:rPr>
        <w:t xml:space="preserve"> H₀ strongly rejected. Overall, male riders received </w:t>
      </w:r>
      <w:r>
        <w:rPr>
          <w:rFonts w:ascii="Calibri" w:hAnsi="Calibri"/>
          <w:b/>
          <w:bCs/>
          <w:sz w:val="22"/>
        </w:rPr>
        <w:t>3.4× more enforcement tickets</w:t>
      </w:r>
      <w:r>
        <w:rPr>
          <w:rFonts w:ascii="Calibri" w:hAnsi="Calibri"/>
          <w:sz w:val="22"/>
        </w:rPr>
        <w:t xml:space="preserve"> than female riders (5,440 male fines vs 1,593 female fines, 528 unknown gender).</w:t>
      </w:r>
    </w:p>
    <w:p w14:paraId="7B2ACC0B" w14:textId="77777777" w:rsidR="00623F87" w:rsidRPr="00623F87" w:rsidRDefault="00623F87" w:rsidP="00623F87">
      <w:pPr>
        <w:rPr>
          <w:rFonts w:ascii="Calibri" w:hAnsi="Calibri"/>
          <w:sz w:val="22"/>
        </w:rPr>
      </w:pPr>
      <w:r>
        <w:rPr>
          <w:rFonts w:ascii="Calibri" w:hAnsi="Calibri"/>
          <w:b/>
          <w:bCs/>
          <w:sz w:val="22"/>
        </w:rPr>
        <w:t>However, the male-to-female ratio is NOT stable</w:t>
      </w:r>
      <w:r>
        <w:rPr>
          <w:rFonts w:ascii="Calibri" w:hAnsi="Calibri"/>
          <w:sz w:val="22"/>
        </w:rPr>
        <w:t xml:space="preserve"> — it decreased from 4.0:1 (80% male) in 2019 to 1.84:1 (65% male) in 2023, then recovered slightly to 2.4:1 (71% male) in 2024. This temporal trend </w:t>
      </w:r>
      <w:r>
        <w:rPr>
          <w:rFonts w:ascii="Calibri" w:hAnsi="Calibri"/>
          <w:sz w:val="22"/>
        </w:rPr>
        <w:lastRenderedPageBreak/>
        <w:t>suggests either changing ridership demographics (more female riders over time) or shifting enforcement patterns.</w:t>
      </w:r>
    </w:p>
    <w:p w14:paraId="36C65FB5" w14:textId="69394603" w:rsidR="008C1AD5" w:rsidRPr="005E22EB" w:rsidRDefault="00185C10" w:rsidP="005E22EB">
      <w:pPr>
        <w:pBdr>
          <w:left w:val="single" w:sz="12" w:space="0" w:color="C55A11"/>
        </w:pBdr>
        <w:shd w:val="clear" w:color="auto" w:fill="EBF3FB"/>
        <w:spacing w:before="240" w:after="240"/>
        <w:ind w:left="180"/>
      </w:pPr>
      <w:r>
        <w:rPr>
          <w:i/>
          <w:iCs/>
        </w:rPr>
        <w:t xml:space="preserve">Key Insight: The male-to-female enforcement ratio is NOT stable over time — it decreased from 4.0:1 (80% male) in 2019 to 1.84:1 (65% male) in 2023. </w:t>
      </w:r>
      <w:r>
        <w:rPr>
          <w:b/>
          <w:bCs/>
          <w:i/>
          <w:iCs/>
        </w:rPr>
        <w:t>However, CBS crash data shows the opposite trend: the male ratio increased from 1.86:1 in 2019 to 3.60:1 in 2023.</w:t>
      </w:r>
      <w:r>
        <w:rPr>
          <w:i/>
          <w:iCs/>
        </w:rPr>
        <w:t xml:space="preserve"> This contradiction indicates the enforcement change </w:t>
      </w:r>
      <w:r>
        <w:rPr>
          <w:b/>
          <w:bCs/>
          <w:i/>
          <w:iCs/>
        </w:rPr>
        <w:t>does NOT reflect changing ridership demographics</w:t>
      </w:r>
      <w:r>
        <w:rPr>
          <w:i/>
          <w:iCs/>
        </w:rPr>
        <w:t xml:space="preserve">, but rather suggests </w:t>
      </w:r>
      <w:r>
        <w:rPr>
          <w:b/>
          <w:bCs/>
          <w:i/>
          <w:iCs/>
        </w:rPr>
        <w:t>shifting enforcement patterns or gender-specific compliance behavior changes</w:t>
      </w:r>
      <w:r>
        <w:rPr>
          <w:i/>
          <w:iCs/>
        </w:rPr>
        <w:t xml:space="preserve"> over time. </w:t>
      </w:r>
      <w:bookmarkStart w:id="6" w:name="section-5"/>
      <w:bookmarkEnd w:id="5"/>
    </w:p>
    <w:p w14:paraId="3D7750EB" w14:textId="13036D3B" w:rsidR="008C1AD5" w:rsidRPr="00057DEF" w:rsidRDefault="00D41392" w:rsidP="00057DEF">
      <w:pPr>
        <w:spacing w:before="240" w:after="120"/>
      </w:pPr>
      <w:r>
        <w:rPr>
          <w:b/>
          <w:bCs/>
        </w:rPr>
        <w:t xml:space="preserve">Section 4 conclusion: </w:t>
      </w:r>
      <w:r>
        <w:t>Three findings stand out from enforcement data. First, the 87% drop in no-helmet fines between 2020 and 2021 reflects two simultaneous mechanisms — COVID-19 police redeployment and genuine behavioral change driven by the 2019 law — not a single cause. Second, the 2022 amendment expanded enforcement authority to municipal inspectors and broadened the fine scope, which means no-helmet fines after 2022 are a smaller share of a larger total; the raw no-helmet count cannot be read as a pure compliance signal without accounting for this structural change. Third, violations concentrate sharply in the 24–29 age group (35% of all fines) and on high-patrol weekdays — both patterns reflect who rides most and when officers are deployed, not raw non-compliance rates. Enforcement fines are a useful directional indicator but must be interpreted alongside knowledge of changing enforcement regimes.</w:t>
      </w:r>
    </w:p>
    <w:p w14:paraId="1F68D015" w14:textId="77777777" w:rsidR="00057DEF" w:rsidRDefault="004C0940" w:rsidP="00057DEF">
      <w:pPr>
        <w:pStyle w:val="Heading1"/>
        <w:spacing w:before="480" w:after="240"/>
        <w:rPr>
          <w:b/>
          <w:bCs/>
          <w:color w:val="1F4E79"/>
        </w:rPr>
      </w:pPr>
      <w:bookmarkStart w:id="7" w:name="hot-spot-observation-data-2024-2025"/>
      <w:bookmarkEnd w:id="4"/>
      <w:bookmarkEnd w:id="6"/>
      <w:r>
        <w:rPr>
          <w:b/>
          <w:bCs/>
          <w:color w:val="1F4E79"/>
        </w:rPr>
        <w:t>5. Hot Spot Observation Data (2024-2025)</w:t>
      </w:r>
      <w:bookmarkStart w:id="8" w:name="methodology"/>
    </w:p>
    <w:p w14:paraId="4A4665B8" w14:textId="4910AA79" w:rsidR="00D41392" w:rsidRPr="00057DEF" w:rsidRDefault="004C0940" w:rsidP="00057DEF">
      <w:pPr>
        <w:pStyle w:val="Heading1"/>
        <w:spacing w:before="480" w:after="240"/>
        <w:rPr>
          <w:b/>
          <w:bCs/>
          <w:color w:val="1F4E79"/>
        </w:rPr>
      </w:pPr>
      <w:r>
        <w:rPr>
          <w:b/>
          <w:bCs/>
          <w:color w:val="1F4E79"/>
          <w:sz w:val="28"/>
          <w:szCs w:val="28"/>
        </w:rPr>
        <w:t>5.1 Methodology</w:t>
      </w:r>
    </w:p>
    <w:p w14:paraId="4AD8042F" w14:textId="259F69AD" w:rsidR="00057DEF" w:rsidRPr="00057DEF" w:rsidRDefault="00057DEF" w:rsidP="00057DEF">
      <w:pPr>
        <w:rPr>
          <w:rFonts w:ascii="Calibri" w:hAnsi="Calibri"/>
          <w:sz w:val="22"/>
        </w:rPr>
      </w:pPr>
      <w:r>
        <w:rPr>
          <w:rFonts w:ascii="Calibri" w:hAnsi="Calibri"/>
          <w:sz w:val="22"/>
        </w:rPr>
        <w:t>Direct field observations at high-traffic e-scooter locations in Tel Aviv during 2024-2025: real-time helmet usage rates among active riders in natural conditions offer a critical comparison point to crash victim data.</w:t>
      </w:r>
    </w:p>
    <w:p w14:paraId="09B9216F" w14:textId="77777777" w:rsidR="00D41392" w:rsidRDefault="004C0940">
      <w:r>
        <w:rPr>
          <w:rFonts w:ascii="Calibri" w:hAnsi="Calibri"/>
          <w:b/>
          <w:bCs/>
          <w:sz w:val="22"/>
        </w:rPr>
        <w:t>Observation Protocol:</w:t>
      </w:r>
    </w:p>
    <w:p w14:paraId="1E444DC8" w14:textId="77777777" w:rsidR="00D41392" w:rsidRDefault="004C0940">
      <w:pPr>
        <w:numPr>
          <w:ilvl w:val="0"/>
          <w:numId w:val="22"/>
        </w:numPr>
      </w:pPr>
      <w:r>
        <w:rPr>
          <w:rFonts w:ascii="Calibri" w:hAnsi="Calibri"/>
          <w:b/>
          <w:bCs/>
          <w:sz w:val="22"/>
        </w:rPr>
        <w:t>Locations:</w:t>
      </w:r>
      <w:r>
        <w:rPr>
          <w:rFonts w:ascii="Calibri" w:hAnsi="Calibri"/>
          <w:sz w:val="22"/>
        </w:rPr>
        <w:t xml:space="preserve"> High-traffic e-scooter routes and parking areas in central Tel Aviv</w:t>
      </w:r>
    </w:p>
    <w:p w14:paraId="3D68BCCF" w14:textId="77777777" w:rsidR="00D41392" w:rsidRDefault="004C0940">
      <w:pPr>
        <w:numPr>
          <w:ilvl w:val="0"/>
          <w:numId w:val="22"/>
        </w:numPr>
      </w:pPr>
      <w:r>
        <w:rPr>
          <w:rFonts w:ascii="Calibri" w:hAnsi="Calibri"/>
          <w:b/>
          <w:bCs/>
          <w:sz w:val="22"/>
        </w:rPr>
        <w:t>Time periods:</w:t>
      </w:r>
      <w:r>
        <w:rPr>
          <w:rFonts w:ascii="Calibri" w:hAnsi="Calibri"/>
          <w:sz w:val="22"/>
        </w:rPr>
        <w:t xml:space="preserve"> Peak hours (morning and evening commute times)</w:t>
      </w:r>
    </w:p>
    <w:p w14:paraId="76203227" w14:textId="77777777" w:rsidR="00D41392" w:rsidRDefault="004C0940">
      <w:pPr>
        <w:numPr>
          <w:ilvl w:val="0"/>
          <w:numId w:val="22"/>
        </w:numPr>
      </w:pPr>
      <w:r>
        <w:rPr>
          <w:rFonts w:ascii="Calibri" w:hAnsi="Calibri"/>
          <w:b/>
          <w:bCs/>
          <w:sz w:val="22"/>
        </w:rPr>
        <w:t>Recording:</w:t>
      </w:r>
      <w:r>
        <w:rPr>
          <w:rFonts w:ascii="Calibri" w:hAnsi="Calibri"/>
          <w:sz w:val="22"/>
        </w:rPr>
        <w:t xml:space="preserve"> Trained observers recorded helmet status (yes/no) for all passing e-scooter riders</w:t>
      </w:r>
    </w:p>
    <w:p w14:paraId="4C310405" w14:textId="77777777" w:rsidR="00D41392" w:rsidRDefault="004C0940">
      <w:pPr>
        <w:numPr>
          <w:ilvl w:val="0"/>
          <w:numId w:val="22"/>
        </w:numPr>
      </w:pPr>
      <w:r>
        <w:rPr>
          <w:rFonts w:ascii="Calibri" w:hAnsi="Calibri"/>
          <w:b/>
          <w:bCs/>
          <w:sz w:val="22"/>
        </w:rPr>
        <w:t>Sample:</w:t>
      </w:r>
      <w:r>
        <w:rPr>
          <w:rFonts w:ascii="Calibri" w:hAnsi="Calibri"/>
          <w:sz w:val="22"/>
        </w:rPr>
        <w:t xml:space="preserve"> Convenience sample of all riders visible at observation points</w:t>
      </w:r>
    </w:p>
    <w:p w14:paraId="0F74056B" w14:textId="77777777" w:rsidR="00D41392" w:rsidRDefault="004C0940">
      <w:r>
        <w:rPr>
          <w:rFonts w:ascii="Calibri" w:hAnsi="Calibri"/>
          <w:b/>
          <w:bCs/>
          <w:sz w:val="22"/>
        </w:rPr>
        <w:t>Data Collection:</w:t>
      </w:r>
    </w:p>
    <w:p w14:paraId="710085ED" w14:textId="77777777" w:rsidR="00D41392" w:rsidRDefault="004C0940">
      <w:pPr>
        <w:numPr>
          <w:ilvl w:val="0"/>
          <w:numId w:val="23"/>
        </w:numPr>
      </w:pPr>
      <w:r>
        <w:rPr>
          <w:rFonts w:ascii="Calibri" w:hAnsi="Calibri"/>
          <w:b/>
          <w:bCs/>
          <w:sz w:val="22"/>
        </w:rPr>
        <w:t>2024:</w:t>
      </w:r>
      <w:r>
        <w:rPr>
          <w:rFonts w:ascii="Calibri" w:hAnsi="Calibri"/>
          <w:sz w:val="22"/>
        </w:rPr>
        <w:t xml:space="preserve"> 182 riders observed over 66 minutes (2.76 riders/minute)</w:t>
      </w:r>
    </w:p>
    <w:p w14:paraId="3C1ECDCF" w14:textId="77777777" w:rsidR="00D41392" w:rsidRDefault="004C0940">
      <w:pPr>
        <w:numPr>
          <w:ilvl w:val="0"/>
          <w:numId w:val="23"/>
        </w:numPr>
      </w:pPr>
      <w:r>
        <w:rPr>
          <w:rFonts w:ascii="Calibri" w:hAnsi="Calibri"/>
          <w:b/>
          <w:bCs/>
          <w:sz w:val="22"/>
        </w:rPr>
        <w:t>2025:</w:t>
      </w:r>
      <w:r>
        <w:rPr>
          <w:rFonts w:ascii="Calibri" w:hAnsi="Calibri"/>
          <w:sz w:val="22"/>
        </w:rPr>
        <w:t xml:space="preserve"> 1,595 riders observed over 141 minutes (11.3 riders/minute)</w:t>
      </w:r>
      <w:r>
        <w:rPr>
          <w:rFonts w:ascii="Calibri" w:hAnsi="Calibri"/>
          <w:sz w:val="22"/>
        </w:rPr>
        <w:br/>
      </w:r>
    </w:p>
    <w:p w14:paraId="04CA49A8" w14:textId="77777777" w:rsidR="00D41392" w:rsidRDefault="004C0940">
      <w:pPr>
        <w:numPr>
          <w:ilvl w:val="0"/>
          <w:numId w:val="23"/>
        </w:numPr>
      </w:pPr>
      <w:r>
        <w:rPr>
          <w:rFonts w:ascii="Calibri" w:hAnsi="Calibri"/>
          <w:b/>
          <w:bCs/>
          <w:sz w:val="22"/>
        </w:rPr>
        <w:t>Total:</w:t>
      </w:r>
      <w:r>
        <w:rPr>
          <w:rFonts w:ascii="Calibri" w:hAnsi="Calibri"/>
          <w:sz w:val="22"/>
        </w:rPr>
        <w:t xml:space="preserve"> 1,777 riders, 100% helmet status known (no “unknown” category)</w:t>
      </w:r>
    </w:p>
    <w:p w14:paraId="5F786222" w14:textId="77777777" w:rsidR="00D41392" w:rsidRDefault="004C0940">
      <w:pPr>
        <w:rPr>
          <w:rFonts w:ascii="Calibri" w:hAnsi="Calibri"/>
          <w:sz w:val="22"/>
        </w:rPr>
      </w:pPr>
      <w:r>
        <w:rPr>
          <w:rFonts w:ascii="Calibri" w:hAnsi="Calibri"/>
          <w:b/>
          <w:bCs/>
          <w:sz w:val="22"/>
        </w:rPr>
        <w:t>Note:</w:t>
      </w:r>
      <w:r>
        <w:rPr>
          <w:rFonts w:ascii="Calibri" w:hAnsi="Calibri"/>
          <w:sz w:val="22"/>
        </w:rPr>
        <w:t xml:space="preserve"> Unlike CBS crash data (25% known helmet status), all riders’ helmet status is visible to observers, giving 100% known-status coverage versus CBS’s 25%.</w:t>
      </w:r>
    </w:p>
    <w:p w14:paraId="23C7D647" w14:textId="77777777" w:rsidR="006B5529" w:rsidRDefault="006B5529"/>
    <w:p w14:paraId="70BFA3B7" w14:textId="780E3796" w:rsidR="00D41392" w:rsidRPr="00C820F0" w:rsidRDefault="004C0940" w:rsidP="00C820F0">
      <w:pPr>
        <w:pStyle w:val="Heading2"/>
        <w:spacing w:before="480" w:after="240"/>
        <w:rPr>
          <w:b/>
          <w:bCs/>
          <w:color w:val="1F4E79"/>
          <w:sz w:val="28"/>
          <w:szCs w:val="28"/>
        </w:rPr>
      </w:pPr>
      <w:bookmarkStart w:id="9" w:name="helmet-compliance-rates"/>
      <w:bookmarkEnd w:id="8"/>
      <w:r>
        <w:rPr>
          <w:b/>
          <w:bCs/>
          <w:color w:val="1F4E79"/>
          <w:sz w:val="28"/>
          <w:szCs w:val="28"/>
        </w:rPr>
        <w:t>5.2 Helmet Compliance Rates (Table 7)</w:t>
      </w:r>
    </w:p>
    <w:p w14:paraId="4C5F7A93" w14:textId="77777777" w:rsidR="00222FAC" w:rsidRDefault="00222FAC" w:rsidP="00222FAC">
      <w:r>
        <w:rPr>
          <w:b/>
          <w:bCs/>
        </w:rPr>
        <w:t>Table 7</w:t>
      </w:r>
      <w:r>
        <w:t>: Observed Helmet Compliance Rates, Tel Aviv Hot Spots (2024–2025)</w:t>
      </w:r>
    </w:p>
    <w:tbl>
      <w:tblPr>
        <w:tblW w:w="0" w:type="auto"/>
        <w:tblLook w:val="0020" w:firstRow="1" w:lastRow="0" w:firstColumn="0" w:lastColumn="0" w:noHBand="0" w:noVBand="0"/>
      </w:tblPr>
      <w:tblGrid>
        <w:gridCol w:w="640"/>
        <w:gridCol w:w="1453"/>
        <w:gridCol w:w="1133"/>
        <w:gridCol w:w="1093"/>
        <w:gridCol w:w="1586"/>
      </w:tblGrid>
      <w:tr w:rsidR="00D41392" w14:paraId="462510E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2F88AD0" w14:textId="77777777" w:rsidR="00D41392" w:rsidRDefault="004C094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3F1ED43" w14:textId="77777777" w:rsidR="00D41392" w:rsidRDefault="004C0940">
            <w:r>
              <w:rPr>
                <w:rFonts w:ascii="Calibri" w:hAnsi="Calibri"/>
                <w:color w:val="FFFFFF"/>
              </w:rPr>
              <w:t>Total Observed</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327D073" w14:textId="77777777" w:rsidR="00D41392" w:rsidRDefault="004C0940">
            <w:r>
              <w:rPr>
                <w:rFonts w:ascii="Calibri" w:hAnsi="Calibri"/>
                <w:color w:val="FFFFFF"/>
              </w:rPr>
              <w:t>Helmet Yes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974A397" w14:textId="77777777" w:rsidR="00D41392" w:rsidRDefault="004C0940">
            <w:r>
              <w:rPr>
                <w:rFonts w:ascii="Calibri" w:hAnsi="Calibri"/>
                <w:color w:val="FFFFFF"/>
              </w:rPr>
              <w:t>Helmet No</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3AB4D390" w14:textId="77777777" w:rsidR="00D41392" w:rsidRDefault="004C0940">
            <w:r>
              <w:rPr>
                <w:rFonts w:ascii="Calibri" w:hAnsi="Calibri"/>
                <w:color w:val="FFFFFF"/>
              </w:rPr>
              <w:t>Compliance Rate</w:t>
            </w:r>
          </w:p>
        </w:tc>
      </w:tr>
      <w:tr w:rsidR="00D41392" w14:paraId="5046004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7057237" w14:textId="77777777" w:rsidR="00D41392" w:rsidRDefault="004C0940">
            <w:r>
              <w:rPr>
                <w:rFonts w:ascii="Calibri" w:hAnsi="Calibri"/>
                <w:color w:val="1F4E79"/>
              </w:rPr>
              <w:t>2024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6FB5FBA" w14:textId="77777777" w:rsidR="00D41392" w:rsidRDefault="004C0940">
            <w:r>
              <w:rPr>
                <w:rFonts w:ascii="Calibri" w:hAnsi="Calibri"/>
                <w:color w:val="1F4E79"/>
              </w:rPr>
              <w:t>182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49441CE" w14:textId="77777777" w:rsidR="00D41392" w:rsidRDefault="004C0940">
            <w:r>
              <w:rPr>
                <w:rFonts w:ascii="Calibri" w:hAnsi="Calibri"/>
                <w:color w:val="1F4E79"/>
              </w:rPr>
              <w:t>116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6AD5081" w14:textId="77777777" w:rsidR="00D41392" w:rsidRDefault="004C0940">
            <w:r>
              <w:rPr>
                <w:rFonts w:ascii="Calibri" w:hAnsi="Calibri"/>
                <w:color w:val="1F4E79"/>
              </w:rPr>
              <w:t>66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1F64872" w14:textId="77777777" w:rsidR="00D41392" w:rsidRDefault="004C0940">
            <w:r>
              <w:rPr>
                <w:rFonts w:ascii="Calibri" w:hAnsi="Calibri"/>
                <w:color w:val="1F4E79"/>
              </w:rPr>
              <w:t>63.6%</w:t>
            </w:r>
          </w:p>
        </w:tc>
      </w:tr>
      <w:tr w:rsidR="00D41392" w14:paraId="2ABBF7F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88471FD" w14:textId="77777777" w:rsidR="00D41392" w:rsidRDefault="004C0940">
            <w:r>
              <w:rPr>
                <w:rFonts w:ascii="Calibri" w:hAnsi="Calibri"/>
                <w:color w:val="1F4E79"/>
              </w:rPr>
              <w:t>2025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C15CF79" w14:textId="77777777" w:rsidR="00D41392" w:rsidRDefault="004C0940">
            <w:r>
              <w:rPr>
                <w:rFonts w:ascii="Calibri" w:hAnsi="Calibri"/>
                <w:color w:val="1F4E79"/>
              </w:rPr>
              <w:t>1,595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BC5499E" w14:textId="77777777" w:rsidR="00D41392" w:rsidRDefault="004C0940">
            <w:r>
              <w:rPr>
                <w:rFonts w:ascii="Calibri" w:hAnsi="Calibri"/>
                <w:color w:val="1F4E79"/>
              </w:rPr>
              <w:t>1,261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AA62B90" w14:textId="77777777" w:rsidR="00D41392" w:rsidRDefault="004C0940">
            <w:r>
              <w:rPr>
                <w:rFonts w:ascii="Calibri" w:hAnsi="Calibri"/>
                <w:color w:val="1F4E79"/>
              </w:rPr>
              <w:t>334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3E1DBDA" w14:textId="77777777" w:rsidR="00D41392" w:rsidRDefault="004C0940">
            <w:r>
              <w:rPr>
                <w:rFonts w:ascii="Calibri" w:hAnsi="Calibri"/>
                <w:color w:val="1F4E79"/>
              </w:rPr>
              <w:t>79.1%</w:t>
            </w:r>
          </w:p>
        </w:tc>
      </w:tr>
      <w:tr w:rsidR="00D41392" w14:paraId="71BFD333"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8237F71" w14:textId="77777777" w:rsidR="00D41392" w:rsidRDefault="004C0940">
            <w:r>
              <w:rPr>
                <w:rFonts w:ascii="Calibri" w:hAnsi="Calibri"/>
                <w:b/>
                <w:bCs/>
                <w:color w:val="1F4E79"/>
              </w:rPr>
              <w:t>Total</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4DCCFF1" w14:textId="77777777" w:rsidR="00D41392" w:rsidRDefault="004C0940">
            <w:r>
              <w:rPr>
                <w:rFonts w:ascii="Calibri" w:hAnsi="Calibri"/>
                <w:b/>
                <w:bCs/>
                <w:color w:val="1F4E79"/>
              </w:rPr>
              <w:t>1,777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6222BBD" w14:textId="77777777" w:rsidR="00D41392" w:rsidRDefault="004C0940">
            <w:r>
              <w:rPr>
                <w:rFonts w:ascii="Calibri" w:hAnsi="Calibri"/>
                <w:b/>
                <w:bCs/>
                <w:color w:val="1F4E79"/>
              </w:rPr>
              <w:t>1,377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7F4CDAC" w14:textId="77777777" w:rsidR="00D41392" w:rsidRDefault="004C0940">
            <w:r>
              <w:rPr>
                <w:rFonts w:ascii="Calibri" w:hAnsi="Calibri"/>
                <w:b/>
                <w:bCs/>
                <w:color w:val="1F4E79"/>
              </w:rPr>
              <w:t>400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5831B6B" w14:textId="77777777" w:rsidR="00D41392" w:rsidRDefault="004C0940">
            <w:r>
              <w:rPr>
                <w:rFonts w:ascii="Calibri" w:hAnsi="Calibri"/>
                <w:b/>
                <w:bCs/>
                <w:color w:val="1F4E79"/>
              </w:rPr>
              <w:t>77.5%</w:t>
            </w:r>
          </w:p>
        </w:tc>
      </w:tr>
    </w:tbl>
    <w:p w14:paraId="67164AFA" w14:textId="77777777" w:rsidR="00D41392" w:rsidRDefault="004C0940">
      <w:r>
        <w:rPr>
          <w:rFonts w:ascii="Calibri" w:hAnsi="Calibri"/>
          <w:b/>
          <w:bCs/>
          <w:sz w:val="22"/>
        </w:rPr>
        <w:t>Dramatic 2024→2025 Increase:</w:t>
      </w:r>
    </w:p>
    <w:p w14:paraId="5D4757F9" w14:textId="77777777" w:rsidR="00D41392" w:rsidRDefault="004C0940">
      <w:r>
        <w:rPr>
          <w:rFonts w:ascii="Calibri" w:hAnsi="Calibri"/>
          <w:sz w:val="22"/>
        </w:rPr>
        <w:lastRenderedPageBreak/>
        <w:t>The 15.5 percentage point jump from 63.6% (2024) to 79.1% (2025) warrants careful interpretation. Three possible explanations:</w:t>
      </w:r>
    </w:p>
    <w:p w14:paraId="1506CEAA" w14:textId="77777777" w:rsidR="00D41392" w:rsidRDefault="004C0940">
      <w:pPr>
        <w:numPr>
          <w:ilvl w:val="0"/>
          <w:numId w:val="25"/>
        </w:numPr>
      </w:pPr>
      <w:r>
        <w:rPr>
          <w:rFonts w:ascii="Calibri" w:hAnsi="Calibri"/>
          <w:b/>
          <w:bCs/>
          <w:sz w:val="22"/>
        </w:rPr>
        <w:t>Genuine behavioral change:</w:t>
      </w:r>
      <w:r>
        <w:rPr>
          <w:rFonts w:ascii="Calibri" w:hAnsi="Calibri"/>
          <w:sz w:val="22"/>
        </w:rPr>
        <w:t xml:space="preserve"> Growing social norm adherence and increased helmet ownership (as suggested by survey data showing personal helmet ownership doubling from 28% to 50%).</w:t>
      </w:r>
    </w:p>
    <w:p w14:paraId="4133161E" w14:textId="77777777" w:rsidR="00D41392" w:rsidRDefault="004C0940">
      <w:pPr>
        <w:numPr>
          <w:ilvl w:val="0"/>
          <w:numId w:val="25"/>
        </w:numPr>
      </w:pPr>
      <w:r>
        <w:rPr>
          <w:rFonts w:ascii="Calibri" w:hAnsi="Calibri"/>
          <w:b/>
          <w:bCs/>
          <w:sz w:val="22"/>
        </w:rPr>
        <w:t>Sampling differences:</w:t>
      </w:r>
      <w:r>
        <w:rPr>
          <w:rFonts w:ascii="Calibri" w:hAnsi="Calibri"/>
          <w:sz w:val="22"/>
        </w:rPr>
        <w:t xml:space="preserve"> Different observation locations, times, or seasonal factors between the two years. The 2025 sample is 8.8× larger (1,595 vs 182), providing more stable estimates.</w:t>
      </w:r>
    </w:p>
    <w:p w14:paraId="5FE445E1" w14:textId="77777777" w:rsidR="00D41392" w:rsidRDefault="004C0940">
      <w:pPr>
        <w:numPr>
          <w:ilvl w:val="0"/>
          <w:numId w:val="25"/>
        </w:numPr>
      </w:pPr>
      <w:r>
        <w:rPr>
          <w:rFonts w:ascii="Calibri" w:hAnsi="Calibri"/>
          <w:b/>
          <w:bCs/>
          <w:sz w:val="22"/>
        </w:rPr>
        <w:t>Enforcement presence effect:</w:t>
      </w:r>
      <w:r>
        <w:rPr>
          <w:rFonts w:ascii="Calibri" w:hAnsi="Calibri"/>
          <w:sz w:val="22"/>
        </w:rPr>
        <w:t xml:space="preserve"> Visible police activity near observation locations may temporarily increase compliance (Hawthorne effect).</w:t>
      </w:r>
    </w:p>
    <w:p w14:paraId="53599F6E" w14:textId="77777777" w:rsidR="00D41392" w:rsidRDefault="004C0940">
      <w:r>
        <w:rPr>
          <w:rFonts w:ascii="Calibri" w:hAnsi="Calibri"/>
          <w:b/>
          <w:bCs/>
          <w:sz w:val="22"/>
        </w:rPr>
        <w:t>Statistical significance of year difference:</w:t>
      </w:r>
    </w:p>
    <w:p w14:paraId="30461EDF" w14:textId="77777777" w:rsidR="00D41392" w:rsidRDefault="004C0940">
      <w:r>
        <w:rPr>
          <w:rFonts w:ascii="Calibri" w:hAnsi="Calibri"/>
          <w:sz w:val="22"/>
        </w:rPr>
        <w:t>Two-proportion z-test comparing 2024 vs 2025 compliance:</w:t>
      </w:r>
    </w:p>
    <w:p w14:paraId="0D1B17AC" w14:textId="77777777" w:rsidR="00D41392" w:rsidRDefault="004C0940">
      <w:pPr>
        <w:numPr>
          <w:ilvl w:val="0"/>
          <w:numId w:val="26"/>
        </w:numPr>
      </w:pPr>
      <w:r>
        <w:rPr>
          <w:rFonts w:ascii="Calibri" w:hAnsi="Calibri"/>
          <w:sz w:val="22"/>
        </w:rPr>
        <w:t>2024: 63.6% (116/182)</w:t>
      </w:r>
    </w:p>
    <w:p w14:paraId="6367DFF9" w14:textId="77777777" w:rsidR="00D41392" w:rsidRDefault="004C0940">
      <w:pPr>
        <w:numPr>
          <w:ilvl w:val="0"/>
          <w:numId w:val="26"/>
        </w:numPr>
      </w:pPr>
      <w:r>
        <w:rPr>
          <w:rFonts w:ascii="Calibri" w:hAnsi="Calibri"/>
          <w:sz w:val="22"/>
        </w:rPr>
        <w:t>2025: 79.1% (1,261/1,595)</w:t>
      </w:r>
    </w:p>
    <w:p w14:paraId="23084008" w14:textId="77777777" w:rsidR="00D41392" w:rsidRDefault="004C0940">
      <w:pPr>
        <w:numPr>
          <w:ilvl w:val="0"/>
          <w:numId w:val="26"/>
        </w:numPr>
      </w:pPr>
      <w:r>
        <w:rPr>
          <w:rFonts w:ascii="Calibri" w:hAnsi="Calibri"/>
          <w:sz w:val="22"/>
        </w:rPr>
        <w:t>z = 3.92, p &lt; 0.001</w:t>
      </w:r>
    </w:p>
    <w:p w14:paraId="07747C08" w14:textId="77777777" w:rsidR="00A12799" w:rsidRDefault="004C0940" w:rsidP="00A12799">
      <w:pPr>
        <w:rPr>
          <w:rFonts w:ascii="Calibri" w:hAnsi="Calibri"/>
          <w:sz w:val="22"/>
        </w:rPr>
      </w:pPr>
      <w:r>
        <w:rPr>
          <w:rFonts w:ascii="Calibri" w:hAnsi="Calibri"/>
          <w:b/>
          <w:bCs/>
          <w:sz w:val="22"/>
        </w:rPr>
        <w:t>Result:</w:t>
      </w:r>
      <w:r>
        <w:rPr>
          <w:rFonts w:ascii="Calibri" w:hAnsi="Calibri"/>
          <w:sz w:val="22"/>
        </w:rPr>
        <w:t xml:space="preserve"> The difference is statistically significant, but the small 2024 sample (n=182) means this result should be interpreted cautiously. The 2025 rate (79.1%) is based on a much more robust sample.</w:t>
      </w:r>
      <w:bookmarkStart w:id="10" w:name="comparison-to-cbs-crash-data"/>
      <w:bookmarkEnd w:id="9"/>
    </w:p>
    <w:p w14:paraId="2702D404" w14:textId="77777777" w:rsidR="00A12799" w:rsidRDefault="00A12799" w:rsidP="00A12799">
      <w:pPr>
        <w:rPr>
          <w:color w:val="1F4E79"/>
          <w:sz w:val="28"/>
          <w:szCs w:val="28"/>
        </w:rPr>
      </w:pPr>
    </w:p>
    <w:p w14:paraId="5928A236" w14:textId="0B353E82" w:rsidR="00D41392" w:rsidRPr="00A12799" w:rsidRDefault="004C0940" w:rsidP="00A12799">
      <w:pPr>
        <w:pStyle w:val="Heading2"/>
        <w:spacing w:before="480" w:after="240"/>
        <w:rPr>
          <w:b/>
          <w:bCs/>
          <w:color w:val="1F4E79"/>
          <w:sz w:val="28"/>
          <w:szCs w:val="28"/>
        </w:rPr>
      </w:pPr>
      <w:r>
        <w:rPr>
          <w:b/>
          <w:bCs/>
          <w:color w:val="1F4E79"/>
          <w:sz w:val="28"/>
          <w:szCs w:val="28"/>
        </w:rPr>
        <w:t>5.3 Comparison with CBS Crash Data</w:t>
      </w:r>
    </w:p>
    <w:p w14:paraId="36372861" w14:textId="4A52FF65" w:rsidR="00D504EF" w:rsidRPr="00D504EF" w:rsidRDefault="00D504EF" w:rsidP="00C820F0">
      <w:pPr>
        <w:jc w:val="center"/>
        <w:rPr>
          <w:szCs w:val="36"/>
        </w:rPr>
      </w:pPr>
      <w:r>
        <w:t>Helmet Usage in CBS vs Observations(2024-2025)</w:t>
      </w:r>
    </w:p>
    <w:p w14:paraId="0E36179D" w14:textId="4C348E8B" w:rsidR="006B5529" w:rsidRDefault="006B5529" w:rsidP="00D504EF">
      <w:pPr>
        <w:pStyle w:val="Heading1"/>
        <w:jc w:val="center"/>
        <w:rPr>
          <w:rFonts w:ascii="Calibri" w:hAnsi="Calibri"/>
          <w:b/>
          <w:bCs/>
          <w:color w:val="1F4E79"/>
          <w:sz w:val="22"/>
          <w:szCs w:val="36"/>
        </w:rPr>
      </w:pPr>
      <w:r>
        <w:rPr>
          <w:rFonts w:ascii="Calibri" w:hAnsi="Calibri"/>
          <w:noProof/>
          <w:sz w:val="22"/>
        </w:rPr>
        <w:drawing>
          <wp:inline distT="0" distB="0" distL="0" distR="0" wp14:anchorId="174D404B" wp14:editId="48539171">
            <wp:extent cx="3705307" cy="2623820"/>
            <wp:effectExtent l="0" t="0" r="9525" b="5080"/>
            <wp:docPr id="1664321821" name="Picture"/>
            <wp:cNvGraphicFramePr/>
            <a:graphic xmlns:a="http://schemas.openxmlformats.org/drawingml/2006/main">
              <a:graphicData uri="http://schemas.openxmlformats.org/drawingml/2006/picture">
                <pic:pic xmlns:pic="http://schemas.openxmlformats.org/drawingml/2006/picture">
                  <pic:nvPicPr>
                    <pic:cNvPr id="93" name="Picture" descr="media/image15.png"/>
                    <pic:cNvPicPr>
                      <a:picLocks noChangeAspect="1" noChangeArrowheads="1"/>
                    </pic:cNvPicPr>
                  </pic:nvPicPr>
                  <pic:blipFill>
                    <a:blip r:embed="rId21"/>
                    <a:stretch>
                      <a:fillRect/>
                    </a:stretch>
                  </pic:blipFill>
                  <pic:spPr bwMode="auto">
                    <a:xfrm>
                      <a:off x="0" y="0"/>
                      <a:ext cx="3757338" cy="2660665"/>
                    </a:xfrm>
                    <a:prstGeom prst="rect">
                      <a:avLst/>
                    </a:prstGeom>
                    <a:noFill/>
                    <a:ln w="9525">
                      <a:noFill/>
                      <a:headEnd/>
                      <a:tailEnd/>
                    </a:ln>
                  </pic:spPr>
                </pic:pic>
              </a:graphicData>
            </a:graphic>
          </wp:inline>
        </w:drawing>
      </w:r>
    </w:p>
    <w:p w14:paraId="34232C71" w14:textId="799A5DCF" w:rsidR="006B5529" w:rsidRDefault="006B5529" w:rsidP="006B5529">
      <w:r>
        <w:rPr>
          <w:rFonts w:ascii="Calibri" w:hAnsi="Calibri"/>
          <w:i/>
          <w:iCs/>
          <w:sz w:val="22"/>
        </w:rPr>
        <w:t>Figure 5.3: Helmet compliance — CBS crash victims vs field observations, 2024–2025</w:t>
      </w:r>
    </w:p>
    <w:p w14:paraId="51F3199D" w14:textId="6B364CCF" w:rsidR="00D504EF" w:rsidRPr="00D504EF" w:rsidRDefault="00D504EF" w:rsidP="00D504EF">
      <w:pPr>
        <w:rPr>
          <w:rFonts w:ascii="Calibri" w:hAnsi="Calibri"/>
          <w:sz w:val="22"/>
        </w:rPr>
      </w:pPr>
      <w:r>
        <w:rPr>
          <w:rFonts w:ascii="Calibri" w:hAnsi="Calibri"/>
          <w:b/>
          <w:bCs/>
          <w:sz w:val="22"/>
        </w:rPr>
        <w:t>Critical Finding:</w:t>
      </w:r>
      <w:r>
        <w:rPr>
          <w:rFonts w:ascii="Calibri" w:hAnsi="Calibri"/>
          <w:sz w:val="22"/>
        </w:rPr>
        <w:t xml:space="preserve"> The compliance gap varies dramatically by year.</w:t>
      </w:r>
    </w:p>
    <w:p w14:paraId="762A73FF" w14:textId="77777777" w:rsidR="00D504EF" w:rsidRPr="00D504EF" w:rsidRDefault="00D504EF" w:rsidP="00D504EF">
      <w:pPr>
        <w:rPr>
          <w:rFonts w:ascii="Calibri" w:hAnsi="Calibri"/>
          <w:sz w:val="22"/>
        </w:rPr>
      </w:pPr>
    </w:p>
    <w:p w14:paraId="55B10747" w14:textId="55D46505" w:rsidR="00D504EF" w:rsidRPr="00D504EF" w:rsidRDefault="00D504EF" w:rsidP="00D504EF">
      <w:pPr>
        <w:rPr>
          <w:rFonts w:ascii="Calibri" w:hAnsi="Calibri"/>
          <w:sz w:val="22"/>
        </w:rPr>
      </w:pPr>
      <w:r>
        <w:rPr>
          <w:rFonts w:ascii="Calibri" w:hAnsi="Calibri"/>
          <w:b/>
          <w:bCs/>
          <w:sz w:val="22"/>
        </w:rPr>
        <w:t>2024 Analysis:</w:t>
      </w:r>
    </w:p>
    <w:p w14:paraId="264793C7" w14:textId="77777777" w:rsidR="00D504EF" w:rsidRPr="00D504EF" w:rsidRDefault="00D504EF" w:rsidP="00D504EF">
      <w:pPr>
        <w:rPr>
          <w:rFonts w:ascii="Calibri" w:hAnsi="Calibri"/>
          <w:sz w:val="22"/>
        </w:rPr>
      </w:pPr>
      <w:r>
        <w:rPr>
          <w:rFonts w:ascii="Calibri" w:hAnsi="Calibri"/>
          <w:sz w:val="22"/>
        </w:rPr>
        <w:t>Near-perfect alignment between observations (63.6%) and CBS crashes (63.2%), with only a 0.4 percentage point gap. This suggests minimal selection bias in 2024 — helmeted and non-helmeted riders had similar crash rates.</w:t>
      </w:r>
    </w:p>
    <w:p w14:paraId="60CB5CEB" w14:textId="778C0784" w:rsidR="00D504EF" w:rsidRPr="00D504EF" w:rsidRDefault="00D504EF" w:rsidP="00D504EF">
      <w:pPr>
        <w:rPr>
          <w:rFonts w:ascii="Calibri" w:hAnsi="Calibri"/>
          <w:sz w:val="22"/>
        </w:rPr>
      </w:pPr>
      <w:r>
        <w:rPr>
          <w:rFonts w:ascii="Calibri" w:hAnsi="Calibri"/>
          <w:b/>
          <w:bCs/>
          <w:sz w:val="22"/>
        </w:rPr>
        <w:t>However:</w:t>
      </w:r>
      <w:r>
        <w:rPr>
          <w:rFonts w:ascii="Calibri" w:hAnsi="Calibri"/>
          <w:sz w:val="22"/>
        </w:rPr>
        <w:t xml:space="preserve"> The 2024 observation sample is small (n=182) and may not be representative. This alignment could be coincidental rather than evidence of no selection bias.</w:t>
      </w:r>
    </w:p>
    <w:p w14:paraId="74B89EA0" w14:textId="77777777" w:rsidR="00D504EF" w:rsidRPr="00D504EF" w:rsidRDefault="00D504EF" w:rsidP="00D504EF">
      <w:pPr>
        <w:rPr>
          <w:rFonts w:ascii="Calibri" w:hAnsi="Calibri"/>
          <w:sz w:val="22"/>
        </w:rPr>
      </w:pPr>
    </w:p>
    <w:p w14:paraId="69AA589C" w14:textId="7B7667CE" w:rsidR="00D504EF" w:rsidRPr="00D504EF" w:rsidRDefault="00D504EF" w:rsidP="00D504EF">
      <w:pPr>
        <w:rPr>
          <w:rFonts w:ascii="Calibri" w:hAnsi="Calibri"/>
          <w:sz w:val="22"/>
        </w:rPr>
      </w:pPr>
      <w:r>
        <w:rPr>
          <w:rFonts w:ascii="Calibri" w:hAnsi="Calibri"/>
          <w:b/>
          <w:bCs/>
          <w:sz w:val="22"/>
        </w:rPr>
        <w:t>2025 Analysis:</w:t>
      </w:r>
    </w:p>
    <w:p w14:paraId="034A785C" w14:textId="40081B9F" w:rsidR="00D504EF" w:rsidRPr="00D504EF" w:rsidRDefault="00D504EF" w:rsidP="00D504EF">
      <w:pPr>
        <w:rPr>
          <w:rFonts w:ascii="Calibri" w:hAnsi="Calibri"/>
          <w:sz w:val="22"/>
        </w:rPr>
      </w:pPr>
      <w:r>
        <w:rPr>
          <w:rFonts w:ascii="Calibri" w:hAnsi="Calibri"/>
          <w:sz w:val="22"/>
        </w:rPr>
        <w:lastRenderedPageBreak/>
        <w:t>Massive divergence: 79.1% observations vs 46.8% CBS crashes = 32.3 percentage point gap.</w:t>
      </w:r>
    </w:p>
    <w:p w14:paraId="5AF81845" w14:textId="5EA96C08" w:rsidR="00D504EF" w:rsidRPr="00D504EF" w:rsidRDefault="00D504EF" w:rsidP="00D504EF">
      <w:pPr>
        <w:rPr>
          <w:rFonts w:ascii="Calibri" w:hAnsi="Calibri"/>
          <w:sz w:val="22"/>
        </w:rPr>
      </w:pPr>
      <w:r>
        <w:rPr>
          <w:rFonts w:ascii="Calibri" w:hAnsi="Calibri"/>
          <w:b/>
          <w:bCs/>
          <w:sz w:val="22"/>
        </w:rPr>
        <w:t>Two competing explanations:</w:t>
      </w:r>
    </w:p>
    <w:p w14:paraId="6205778A" w14:textId="66912F35" w:rsidR="00D504EF" w:rsidRPr="00D504EF" w:rsidRDefault="00D504EF" w:rsidP="00D504EF">
      <w:pPr>
        <w:rPr>
          <w:rFonts w:ascii="Calibri" w:hAnsi="Calibri"/>
          <w:sz w:val="22"/>
        </w:rPr>
      </w:pPr>
      <w:r>
        <w:rPr>
          <w:rFonts w:ascii="Calibri" w:hAnsi="Calibri"/>
          <w:b/>
          <w:bCs/>
          <w:sz w:val="22"/>
        </w:rPr>
        <w:t>Explanation 1 — Genuine compliance improvement:</w:t>
      </w:r>
    </w:p>
    <w:p w14:paraId="06C7E598" w14:textId="77777777" w:rsidR="00D504EF" w:rsidRPr="00D504EF" w:rsidRDefault="00D504EF" w:rsidP="00D504EF">
      <w:pPr>
        <w:rPr>
          <w:rFonts w:ascii="Calibri" w:hAnsi="Calibri"/>
          <w:sz w:val="22"/>
        </w:rPr>
      </w:pPr>
      <w:r>
        <w:rPr>
          <w:rFonts w:ascii="Calibri" w:hAnsi="Calibri"/>
          <w:sz w:val="22"/>
        </w:rPr>
        <w:t>- General population compliance genuinely increased to 79.1% in 2025</w:t>
      </w:r>
    </w:p>
    <w:p w14:paraId="3DBFA061" w14:textId="77777777" w:rsidR="00D504EF" w:rsidRPr="00D504EF" w:rsidRDefault="00D504EF" w:rsidP="00D504EF">
      <w:pPr>
        <w:rPr>
          <w:rFonts w:ascii="Calibri" w:hAnsi="Calibri"/>
          <w:sz w:val="22"/>
        </w:rPr>
      </w:pPr>
      <w:r>
        <w:rPr>
          <w:rFonts w:ascii="Calibri" w:hAnsi="Calibri"/>
          <w:sz w:val="22"/>
        </w:rPr>
        <w:t>- CBS crash rate (46.8%) is artificially low due to critical data quality issues</w:t>
      </w:r>
    </w:p>
    <w:p w14:paraId="7B7890DC" w14:textId="77777777" w:rsidR="00D504EF" w:rsidRPr="00D504EF" w:rsidRDefault="00D504EF" w:rsidP="00D504EF">
      <w:pPr>
        <w:rPr>
          <w:rFonts w:ascii="Calibri" w:hAnsi="Calibri"/>
          <w:sz w:val="22"/>
        </w:rPr>
      </w:pPr>
      <w:r>
        <w:rPr>
          <w:rFonts w:ascii="Calibri" w:hAnsi="Calibri"/>
          <w:sz w:val="22"/>
        </w:rPr>
        <w:t>- 2025 CBS coverage = 14.7% (85%+ unknown helmet status)</w:t>
      </w:r>
    </w:p>
    <w:p w14:paraId="5B5A5024" w14:textId="1F472F25"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Conclusion:</w:t>
      </w:r>
      <w:r>
        <w:rPr>
          <w:rFonts w:ascii="Calibri" w:hAnsi="Calibri"/>
          <w:sz w:val="22"/>
        </w:rPr>
        <w:t xml:space="preserve"> The 46.8% crash rate may be unreliable</w:t>
      </w:r>
    </w:p>
    <w:p w14:paraId="32C1579C" w14:textId="77777777" w:rsidR="00D504EF" w:rsidRPr="00D504EF" w:rsidRDefault="00D504EF" w:rsidP="00D504EF">
      <w:pPr>
        <w:rPr>
          <w:rFonts w:ascii="Calibri" w:hAnsi="Calibri"/>
          <w:sz w:val="22"/>
        </w:rPr>
      </w:pPr>
    </w:p>
    <w:p w14:paraId="3E4AD00B" w14:textId="6E2D9A9B" w:rsidR="00D504EF" w:rsidRPr="00D504EF" w:rsidRDefault="00D504EF" w:rsidP="00D504EF">
      <w:pPr>
        <w:rPr>
          <w:rFonts w:ascii="Calibri" w:hAnsi="Calibri"/>
          <w:sz w:val="22"/>
        </w:rPr>
      </w:pPr>
      <w:r>
        <w:rPr>
          <w:rFonts w:ascii="Calibri" w:hAnsi="Calibri"/>
          <w:b/>
          <w:bCs/>
          <w:sz w:val="22"/>
        </w:rPr>
        <w:t>Explanation 2 — Selection bias (non-compliant riders overrepresented in crashes):</w:t>
      </w:r>
    </w:p>
    <w:p w14:paraId="571BFDB4" w14:textId="77777777" w:rsidR="00D504EF" w:rsidRPr="00D504EF" w:rsidRDefault="00D504EF" w:rsidP="00D504EF">
      <w:pPr>
        <w:rPr>
          <w:rFonts w:ascii="Calibri" w:hAnsi="Calibri"/>
          <w:sz w:val="22"/>
        </w:rPr>
      </w:pPr>
      <w:r>
        <w:rPr>
          <w:rFonts w:ascii="Calibri" w:hAnsi="Calibri"/>
          <w:sz w:val="22"/>
        </w:rPr>
        <w:t>- 79.1% of general riders wear helmets (observations)</w:t>
      </w:r>
    </w:p>
    <w:p w14:paraId="67E0B5B5" w14:textId="77777777" w:rsidR="00D504EF" w:rsidRPr="00D504EF" w:rsidRDefault="00D504EF" w:rsidP="00D504EF">
      <w:pPr>
        <w:rPr>
          <w:rFonts w:ascii="Calibri" w:hAnsi="Calibri"/>
          <w:sz w:val="22"/>
        </w:rPr>
      </w:pPr>
      <w:r>
        <w:rPr>
          <w:rFonts w:ascii="Calibri" w:hAnsi="Calibri"/>
          <w:sz w:val="22"/>
        </w:rPr>
        <w:t>- Only 46.8% of crash victims wore helmets (CBS)</w:t>
      </w:r>
    </w:p>
    <w:p w14:paraId="6D56E9B5" w14:textId="5DEA6562" w:rsidR="00D504EF" w:rsidRPr="00225DF0" w:rsidRDefault="00D504EF" w:rsidP="00225DF0">
      <w:pPr>
        <w:rPr>
          <w:rFonts w:ascii="Calibri" w:hAnsi="Calibri"/>
          <w:sz w:val="22"/>
        </w:rPr>
      </w:pPr>
      <w:r>
        <w:rPr>
          <w:rFonts w:ascii="Calibri" w:hAnsi="Calibri"/>
          <w:sz w:val="22"/>
        </w:rPr>
        <w:t xml:space="preserve">- </w:t>
      </w:r>
      <w:r>
        <w:rPr>
          <w:rFonts w:ascii="Calibri" w:hAnsi="Calibri"/>
          <w:b/>
          <w:bCs/>
          <w:sz w:val="22"/>
        </w:rPr>
        <w:t>Interpretation:</w:t>
      </w:r>
      <w:r>
        <w:t xml:space="preserve"> </w:t>
      </w:r>
      <w:r>
        <w:rPr>
          <w:rFonts w:ascii="Calibri" w:hAnsi="Calibri"/>
          <w:sz w:val="22"/>
        </w:rPr>
        <w:t xml:space="preserve">non-helmeted riders may engage in riskier riding behavior </w:t>
      </w:r>
    </w:p>
    <w:p w14:paraId="3A50BF1D" w14:textId="77777777" w:rsidR="00D504EF" w:rsidRPr="00D504EF" w:rsidRDefault="00D504EF" w:rsidP="00D504EF">
      <w:pPr>
        <w:rPr>
          <w:rFonts w:ascii="Calibri" w:hAnsi="Calibri"/>
          <w:sz w:val="22"/>
        </w:rPr>
      </w:pPr>
    </w:p>
    <w:p w14:paraId="46C086D7" w14:textId="0815143C" w:rsidR="00D504EF" w:rsidRPr="00D504EF" w:rsidRDefault="00D504EF" w:rsidP="00D504EF">
      <w:pPr>
        <w:rPr>
          <w:rFonts w:ascii="Calibri" w:hAnsi="Calibri"/>
          <w:sz w:val="22"/>
        </w:rPr>
      </w:pPr>
      <w:r>
        <w:rPr>
          <w:rFonts w:ascii="Calibri" w:hAnsi="Calibri"/>
          <w:b/>
          <w:bCs/>
          <w:sz w:val="22"/>
        </w:rPr>
        <w:t>Statistical Tests:</w:t>
      </w:r>
    </w:p>
    <w:p w14:paraId="6301AEA2" w14:textId="77777777" w:rsidR="00D504EF" w:rsidRPr="00D504EF" w:rsidRDefault="00D504EF" w:rsidP="00D504EF">
      <w:pPr>
        <w:rPr>
          <w:rFonts w:ascii="Calibri" w:hAnsi="Calibri"/>
          <w:sz w:val="22"/>
        </w:rPr>
      </w:pPr>
    </w:p>
    <w:p w14:paraId="52957676" w14:textId="6B4747E2" w:rsidR="00D504EF" w:rsidRPr="00D504EF" w:rsidRDefault="00D504EF" w:rsidP="00D504EF">
      <w:pPr>
        <w:rPr>
          <w:rFonts w:ascii="Calibri" w:hAnsi="Calibri"/>
          <w:sz w:val="22"/>
        </w:rPr>
      </w:pPr>
      <w:r>
        <w:rPr>
          <w:rFonts w:ascii="Calibri" w:hAnsi="Calibri"/>
          <w:b/>
          <w:bCs/>
          <w:sz w:val="22"/>
        </w:rPr>
        <w:t>2025 Gap Test:</w:t>
      </w:r>
    </w:p>
    <w:p w14:paraId="35C4AC7D" w14:textId="77777777" w:rsidR="00D504EF" w:rsidRPr="00D504EF" w:rsidRDefault="00D504EF" w:rsidP="00D504EF">
      <w:pPr>
        <w:rPr>
          <w:rFonts w:ascii="Calibri" w:hAnsi="Calibri"/>
          <w:sz w:val="22"/>
        </w:rPr>
      </w:pPr>
      <w:r>
        <w:rPr>
          <w:rFonts w:ascii="Calibri" w:hAnsi="Calibri"/>
          <w:sz w:val="22"/>
        </w:rPr>
        <w:t>Two-proportion z-test comparing 2025 observation rate (79.1%, n=1,595) to CBS crash rate (46.8%, n=62 known status):</w:t>
      </w:r>
    </w:p>
    <w:p w14:paraId="632600A7" w14:textId="77777777" w:rsidR="00D504EF" w:rsidRPr="00D504EF" w:rsidRDefault="00D504EF" w:rsidP="00D504EF">
      <w:pPr>
        <w:rPr>
          <w:rFonts w:ascii="Calibri" w:hAnsi="Calibri"/>
          <w:sz w:val="22"/>
        </w:rPr>
      </w:pPr>
      <w:r>
        <w:rPr>
          <w:rFonts w:ascii="Calibri" w:hAnsi="Calibri"/>
          <w:sz w:val="22"/>
        </w:rPr>
        <w:t>- z = 8.73, p &lt; 0.001</w:t>
      </w:r>
    </w:p>
    <w:p w14:paraId="43F40333" w14:textId="77777777" w:rsidR="00D504EF" w:rsidRPr="00D504EF" w:rsidRDefault="00D504EF" w:rsidP="00D504EF">
      <w:pPr>
        <w:rPr>
          <w:rFonts w:ascii="Calibri" w:hAnsi="Calibri"/>
          <w:sz w:val="22"/>
        </w:rPr>
      </w:pPr>
      <w:r>
        <w:rPr>
          <w:rFonts w:ascii="Calibri" w:hAnsi="Calibri"/>
          <w:sz w:val="22"/>
        </w:rPr>
        <w:t>- Difference: +32.3 percentage points [95% CI: 24.8–39.8]</w:t>
      </w:r>
    </w:p>
    <w:p w14:paraId="032B9106" w14:textId="28CE5E99"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Highly significant**</w:t>
      </w:r>
      <w:r>
        <w:rPr>
          <w:rFonts w:ascii="Calibri" w:hAnsi="Calibri"/>
          <w:sz w:val="22"/>
        </w:rPr>
        <w:t>, but confounded by CBS data quality issues</w:t>
      </w:r>
    </w:p>
    <w:p w14:paraId="39675052" w14:textId="77777777" w:rsidR="00D504EF" w:rsidRPr="00D504EF" w:rsidRDefault="00D504EF" w:rsidP="00D504EF">
      <w:pPr>
        <w:rPr>
          <w:rFonts w:ascii="Calibri" w:hAnsi="Calibri"/>
          <w:sz w:val="22"/>
        </w:rPr>
      </w:pPr>
    </w:p>
    <w:p w14:paraId="4B813C06" w14:textId="0CC2CDE4" w:rsidR="00D504EF" w:rsidRPr="00D504EF" w:rsidRDefault="00D504EF" w:rsidP="00D504EF">
      <w:pPr>
        <w:rPr>
          <w:rFonts w:ascii="Calibri" w:hAnsi="Calibri"/>
          <w:sz w:val="22"/>
        </w:rPr>
      </w:pPr>
      <w:r>
        <w:rPr>
          <w:rFonts w:ascii="Calibri" w:hAnsi="Calibri"/>
          <w:b/>
          <w:bCs/>
          <w:sz w:val="22"/>
        </w:rPr>
        <w:t>Combined 2024-2025 Test:</w:t>
      </w:r>
    </w:p>
    <w:p w14:paraId="099018E4" w14:textId="28616937" w:rsidR="00D504EF" w:rsidRPr="00D504EF" w:rsidRDefault="00D504EF" w:rsidP="00816350">
      <w:pPr>
        <w:rPr>
          <w:rFonts w:ascii="Calibri" w:hAnsi="Calibri"/>
          <w:sz w:val="22"/>
        </w:rPr>
      </w:pPr>
      <w:r>
        <w:rPr>
          <w:rFonts w:ascii="Calibri" w:hAnsi="Calibri"/>
          <w:sz w:val="22"/>
        </w:rPr>
        <w:t>Using pooled sample (77.5% observations vs 59.2% CBS):</w:t>
      </w:r>
    </w:p>
    <w:p w14:paraId="7817A3CA" w14:textId="77777777" w:rsidR="00D504EF" w:rsidRPr="00D504EF" w:rsidRDefault="00D504EF" w:rsidP="00D504EF">
      <w:pPr>
        <w:rPr>
          <w:rFonts w:ascii="Calibri" w:hAnsi="Calibri"/>
          <w:sz w:val="22"/>
        </w:rPr>
      </w:pPr>
      <w:r>
        <w:rPr>
          <w:rFonts w:ascii="Calibri" w:hAnsi="Calibri"/>
          <w:sz w:val="22"/>
        </w:rPr>
        <w:t>- z = 10.8, p &lt; 0.001  </w:t>
      </w:r>
    </w:p>
    <w:p w14:paraId="3DF368BB" w14:textId="77777777" w:rsidR="00D504EF" w:rsidRPr="00D504EF" w:rsidRDefault="00D504EF" w:rsidP="00D504EF">
      <w:pPr>
        <w:rPr>
          <w:rFonts w:ascii="Calibri" w:hAnsi="Calibri"/>
          <w:sz w:val="22"/>
        </w:rPr>
      </w:pPr>
      <w:r>
        <w:rPr>
          <w:rFonts w:ascii="Calibri" w:hAnsi="Calibri"/>
          <w:sz w:val="22"/>
        </w:rPr>
        <w:t>- Difference: +18.3 percentage points [95% CI: 15.0–21.6]</w:t>
      </w:r>
    </w:p>
    <w:p w14:paraId="3E059A96" w14:textId="52D60891"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Highly significant</w:t>
      </w:r>
    </w:p>
    <w:p w14:paraId="78083F5C" w14:textId="77777777" w:rsidR="00D504EF" w:rsidRPr="00D504EF" w:rsidRDefault="00D504EF" w:rsidP="00D504EF">
      <w:pPr>
        <w:rPr>
          <w:rFonts w:ascii="Calibri" w:hAnsi="Calibri"/>
          <w:sz w:val="22"/>
        </w:rPr>
      </w:pPr>
    </w:p>
    <w:p w14:paraId="6F73A893" w14:textId="7FC50628" w:rsidR="00D504EF" w:rsidRPr="00D504EF" w:rsidRDefault="00D504EF" w:rsidP="00D504EF">
      <w:pPr>
        <w:rPr>
          <w:rFonts w:ascii="Calibri" w:hAnsi="Calibri"/>
          <w:sz w:val="22"/>
        </w:rPr>
      </w:pPr>
    </w:p>
    <w:p w14:paraId="66A1C059" w14:textId="77777777" w:rsidR="00D504EF" w:rsidRPr="00D504EF" w:rsidRDefault="00D504EF" w:rsidP="00D504EF">
      <w:pPr>
        <w:rPr>
          <w:rFonts w:ascii="Calibri" w:hAnsi="Calibri"/>
          <w:sz w:val="22"/>
        </w:rPr>
      </w:pPr>
    </w:p>
    <w:p w14:paraId="73269A34" w14:textId="2AF6AC29" w:rsidR="00A12799" w:rsidRDefault="00A12799" w:rsidP="00A12799">
      <w:pPr>
        <w:rPr>
          <w:rFonts w:ascii="Calibri" w:hAnsi="Calibri"/>
          <w:sz w:val="22"/>
        </w:rPr>
      </w:pPr>
      <w:bookmarkStart w:id="11" w:name="implications"/>
      <w:bookmarkEnd w:id="10"/>
    </w:p>
    <w:p w14:paraId="6DEB214C" w14:textId="77777777" w:rsidR="00A12799" w:rsidRPr="00A12799" w:rsidRDefault="00A12799" w:rsidP="00A12799">
      <w:pPr>
        <w:rPr>
          <w:rFonts w:ascii="Calibri" w:hAnsi="Calibri"/>
          <w:sz w:val="22"/>
        </w:rPr>
      </w:pPr>
    </w:p>
    <w:p w14:paraId="6D275FD9" w14:textId="062922BF" w:rsidR="00D41392" w:rsidRPr="00A12799" w:rsidRDefault="00816350" w:rsidP="00A12799">
      <w:pPr>
        <w:pStyle w:val="Heading2"/>
        <w:spacing w:before="480" w:after="240"/>
        <w:rPr>
          <w:b/>
          <w:bCs/>
          <w:color w:val="1F4E79"/>
          <w:sz w:val="28"/>
          <w:szCs w:val="28"/>
        </w:rPr>
      </w:pPr>
      <w:r>
        <w:rPr>
          <w:b/>
          <w:bCs/>
          <w:color w:val="1F4E79"/>
          <w:sz w:val="28"/>
          <w:szCs w:val="28"/>
        </w:rPr>
        <w:t>5.4 Implications and Limitations</w:t>
      </w:r>
    </w:p>
    <w:p w14:paraId="1A94E7F8" w14:textId="77777777" w:rsidR="00D41392" w:rsidRDefault="004C0940">
      <w:r>
        <w:rPr>
          <w:rFonts w:ascii="Calibri" w:hAnsi="Calibri"/>
          <w:b/>
          <w:bCs/>
          <w:sz w:val="22"/>
        </w:rPr>
        <w:t>Why Observation Data Matters:</w:t>
      </w:r>
    </w:p>
    <w:p w14:paraId="5D93CA5E" w14:textId="77777777" w:rsidR="00D41392" w:rsidRDefault="004C0940">
      <w:pPr>
        <w:numPr>
          <w:ilvl w:val="0"/>
          <w:numId w:val="28"/>
        </w:numPr>
      </w:pPr>
      <w:r>
        <w:rPr>
          <w:rFonts w:ascii="Calibri" w:hAnsi="Calibri"/>
          <w:b/>
          <w:bCs/>
          <w:sz w:val="22"/>
        </w:rPr>
        <w:t>Establishes general population baseline:</w:t>
      </w:r>
      <w:r>
        <w:rPr>
          <w:rFonts w:ascii="Calibri" w:hAnsi="Calibri"/>
          <w:sz w:val="22"/>
        </w:rPr>
        <w:t xml:space="preserve"> CBS crash data alone cannot tell us overall compliance — only compliance among crashed riders. Observations provide the missing denominator.</w:t>
      </w:r>
    </w:p>
    <w:p w14:paraId="09C7579C" w14:textId="77777777" w:rsidR="00D41392" w:rsidRDefault="004C0940">
      <w:pPr>
        <w:numPr>
          <w:ilvl w:val="0"/>
          <w:numId w:val="28"/>
        </w:numPr>
      </w:pPr>
      <w:r>
        <w:rPr>
          <w:rFonts w:ascii="Calibri" w:hAnsi="Calibri"/>
          <w:b/>
          <w:bCs/>
          <w:sz w:val="22"/>
        </w:rPr>
        <w:t>Reveals selection bias:</w:t>
      </w:r>
      <w:r>
        <w:rPr>
          <w:rFonts w:ascii="Calibri" w:hAnsi="Calibri"/>
          <w:sz w:val="22"/>
        </w:rPr>
        <w:t xml:space="preserve"> The 18.3-point gap suggests crash populations are not representative of all riders, even before considering injury severity.</w:t>
      </w:r>
    </w:p>
    <w:p w14:paraId="3F78BEE2" w14:textId="77777777" w:rsidR="00D41392" w:rsidRDefault="004C0940">
      <w:pPr>
        <w:numPr>
          <w:ilvl w:val="0"/>
          <w:numId w:val="28"/>
        </w:numPr>
      </w:pPr>
      <w:r>
        <w:rPr>
          <w:rFonts w:ascii="Calibri" w:hAnsi="Calibri"/>
          <w:b/>
          <w:bCs/>
          <w:sz w:val="22"/>
        </w:rPr>
        <w:t>Validates law effectiveness:</w:t>
      </w:r>
      <w:r>
        <w:rPr>
          <w:rFonts w:ascii="Calibri" w:hAnsi="Calibri"/>
          <w:sz w:val="22"/>
        </w:rPr>
        <w:t xml:space="preserve"> Both sources show compliance far exceeding pre-law levels (2018 baseline: 25.0% in CBS, 22% “always” in 2019 survey). The law worked, even in the general riding population.</w:t>
      </w:r>
    </w:p>
    <w:p w14:paraId="163FBB52" w14:textId="77777777" w:rsidR="00D41392" w:rsidRDefault="004C0940">
      <w:pPr>
        <w:numPr>
          <w:ilvl w:val="0"/>
          <w:numId w:val="28"/>
        </w:numPr>
      </w:pPr>
      <w:r>
        <w:rPr>
          <w:rFonts w:ascii="Calibri" w:hAnsi="Calibri"/>
          <w:b/>
          <w:bCs/>
          <w:sz w:val="22"/>
        </w:rPr>
        <w:t>Identifies enforcement priorities:</w:t>
      </w:r>
      <w:r>
        <w:rPr>
          <w:rFonts w:ascii="Calibri" w:hAnsi="Calibri"/>
          <w:sz w:val="22"/>
        </w:rPr>
        <w:t xml:space="preserve"> If 79.1% of general riders comply, enforcement resources should focus on the persistent 20–21% non-compliant minority, who CBS data shows face substantially higher injury severity (RR 2.28× overall).</w:t>
      </w:r>
    </w:p>
    <w:p w14:paraId="2601FCC0" w14:textId="77777777" w:rsidR="00D41392" w:rsidRDefault="004C0940">
      <w:r>
        <w:rPr>
          <w:rFonts w:ascii="Calibri" w:hAnsi="Calibri"/>
          <w:b/>
          <w:bCs/>
          <w:sz w:val="22"/>
        </w:rPr>
        <w:t>Limitations:</w:t>
      </w:r>
    </w:p>
    <w:p w14:paraId="354A21ED" w14:textId="77777777" w:rsidR="00D41392" w:rsidRDefault="004C0940">
      <w:pPr>
        <w:numPr>
          <w:ilvl w:val="0"/>
          <w:numId w:val="29"/>
        </w:numPr>
      </w:pPr>
      <w:r>
        <w:rPr>
          <w:rFonts w:ascii="Calibri" w:hAnsi="Calibri"/>
          <w:sz w:val="22"/>
        </w:rPr>
        <w:lastRenderedPageBreak/>
        <w:t>Convenience sampling may not represent all Tel Aviv riders (e.g., late-night riders, residential areas)</w:t>
      </w:r>
    </w:p>
    <w:p w14:paraId="78044235" w14:textId="77777777" w:rsidR="00D41392" w:rsidRDefault="004C0940">
      <w:pPr>
        <w:numPr>
          <w:ilvl w:val="0"/>
          <w:numId w:val="29"/>
        </w:numPr>
      </w:pPr>
      <w:r>
        <w:rPr>
          <w:rFonts w:ascii="Calibri" w:hAnsi="Calibri"/>
          <w:sz w:val="22"/>
        </w:rPr>
        <w:t>Observer presence may increase compliance (Hawthorne effect)</w:t>
      </w:r>
    </w:p>
    <w:p w14:paraId="566CE589" w14:textId="77777777" w:rsidR="00D41392" w:rsidRDefault="004C0940">
      <w:pPr>
        <w:numPr>
          <w:ilvl w:val="0"/>
          <w:numId w:val="29"/>
        </w:numPr>
      </w:pPr>
      <w:r>
        <w:rPr>
          <w:rFonts w:ascii="Calibri" w:hAnsi="Calibri"/>
          <w:sz w:val="22"/>
        </w:rPr>
        <w:t>Small 2024 sample (n=182) limits year-to-year trend confidence</w:t>
      </w:r>
    </w:p>
    <w:p w14:paraId="2AAEA365" w14:textId="77777777" w:rsidR="00D41392" w:rsidRDefault="004C0940">
      <w:pPr>
        <w:numPr>
          <w:ilvl w:val="0"/>
          <w:numId w:val="29"/>
        </w:numPr>
      </w:pPr>
      <w:r>
        <w:rPr>
          <w:rFonts w:ascii="Calibri" w:hAnsi="Calibri"/>
          <w:sz w:val="22"/>
        </w:rPr>
        <w:t>No demographic data collected (age, gender, rider type)</w:t>
      </w:r>
    </w:p>
    <w:p w14:paraId="08BF1F61" w14:textId="77777777" w:rsidR="00D41392" w:rsidRDefault="004C0940">
      <w:r>
        <w:rPr>
          <w:rFonts w:ascii="Calibri" w:hAnsi="Calibri"/>
          <w:b/>
          <w:bCs/>
          <w:sz w:val="22"/>
        </w:rPr>
        <w:t>Future Recommendations:</w:t>
      </w:r>
    </w:p>
    <w:p w14:paraId="27237CDE" w14:textId="77777777" w:rsidR="00D41392" w:rsidRDefault="004C0940">
      <w:pPr>
        <w:numPr>
          <w:ilvl w:val="0"/>
          <w:numId w:val="30"/>
        </w:numPr>
      </w:pPr>
      <w:r>
        <w:rPr>
          <w:rFonts w:ascii="Calibri" w:hAnsi="Calibri"/>
          <w:sz w:val="22"/>
        </w:rPr>
        <w:t>Expand observation sample to 3,000+ riders for stable annual estimates</w:t>
      </w:r>
    </w:p>
    <w:p w14:paraId="177A2612" w14:textId="77777777" w:rsidR="00D41392" w:rsidRDefault="004C0940">
      <w:pPr>
        <w:numPr>
          <w:ilvl w:val="0"/>
          <w:numId w:val="30"/>
        </w:numPr>
      </w:pPr>
      <w:r>
        <w:rPr>
          <w:rFonts w:ascii="Calibri" w:hAnsi="Calibri"/>
          <w:sz w:val="22"/>
        </w:rPr>
        <w:t>Stratify by location type (commercial, residential, recreational)</w:t>
      </w:r>
    </w:p>
    <w:p w14:paraId="441336B6" w14:textId="77777777" w:rsidR="00D41392" w:rsidRDefault="004C0940">
      <w:pPr>
        <w:numPr>
          <w:ilvl w:val="0"/>
          <w:numId w:val="30"/>
        </w:numPr>
      </w:pPr>
      <w:r>
        <w:rPr>
          <w:rFonts w:ascii="Calibri" w:hAnsi="Calibri"/>
          <w:sz w:val="22"/>
        </w:rPr>
        <w:t>Include time-of-day and day-of-week variation</w:t>
      </w:r>
    </w:p>
    <w:p w14:paraId="3026CA78" w14:textId="77777777" w:rsidR="00D41392" w:rsidRPr="00816350" w:rsidRDefault="004C0940">
      <w:pPr>
        <w:numPr>
          <w:ilvl w:val="0"/>
          <w:numId w:val="30"/>
        </w:numPr>
      </w:pPr>
      <w:r>
        <w:rPr>
          <w:rFonts w:ascii="Calibri" w:hAnsi="Calibri"/>
          <w:sz w:val="22"/>
        </w:rPr>
        <w:t>Record additional variables: tandem riding, rider apparent age, scooter type (shared vs private)</w:t>
      </w:r>
    </w:p>
    <w:p w14:paraId="0D586881" w14:textId="5615F408" w:rsidR="00816350" w:rsidRPr="00801755" w:rsidRDefault="00816350" w:rsidP="00A12799">
      <w:r>
        <w:t>The key question — "Does helmet use reduce crashes or just injuries?" — remains unanswered due to data quality limitations. Future studies must improve both CBS coverage and observation methodology to resolve this critical safety question.</w:t>
      </w:r>
    </w:p>
    <w:p w14:paraId="13FD688C" w14:textId="77777777" w:rsidR="006B5529" w:rsidRDefault="006B5529" w:rsidP="006B5529">
      <w:pPr>
        <w:ind w:left="720"/>
      </w:pPr>
    </w:p>
    <w:p w14:paraId="3BD8B3DA" w14:textId="58E6CB44" w:rsidR="00AA49CE" w:rsidRPr="005E22EB" w:rsidRDefault="00B42420" w:rsidP="005E22EB">
      <w:pPr>
        <w:pStyle w:val="Heading1"/>
        <w:spacing w:before="480" w:after="240"/>
        <w:rPr>
          <w:b/>
          <w:bCs/>
          <w:color w:val="1F4E79"/>
        </w:rPr>
      </w:pPr>
      <w:bookmarkStart w:id="12" w:name="cross-source-synthesis"/>
      <w:bookmarkEnd w:id="7"/>
      <w:bookmarkEnd w:id="11"/>
      <w:r>
        <w:rPr>
          <w:b/>
          <w:bCs/>
          <w:color w:val="1F4E79"/>
        </w:rPr>
        <w:t>6.Discussion: Cross-Source Analysis and Law Effectiveness</w:t>
      </w:r>
    </w:p>
    <w:p w14:paraId="0C74D52C" w14:textId="7E50A6BA" w:rsidR="00B42420" w:rsidRPr="00B42420" w:rsidRDefault="00B42420" w:rsidP="00A12799">
      <w:pPr>
        <w:pStyle w:val="NoSpacing"/>
        <w:rPr>
          <w:rFonts w:ascii="Calibri" w:hAnsi="Calibri"/>
          <w:sz w:val="22"/>
          <w:szCs w:val="36"/>
        </w:rPr>
      </w:pPr>
      <w:r>
        <w:rPr>
          <w:rFonts w:ascii="Calibri" w:hAnsi="Calibri"/>
          <w:sz w:val="22"/>
          <w:szCs w:val="36"/>
        </w:rPr>
        <w:t>This section synthesizes findings from all four data sources and examines the helmet law's impact on both compliance and injury outcomes.</w:t>
      </w:r>
    </w:p>
    <w:p w14:paraId="3137A6FB" w14:textId="65EBF612" w:rsidR="00D41392" w:rsidRPr="00A12799" w:rsidRDefault="004C0940" w:rsidP="00A12799">
      <w:pPr>
        <w:pStyle w:val="Heading2"/>
        <w:spacing w:before="480" w:after="240"/>
        <w:rPr>
          <w:b/>
          <w:bCs/>
          <w:color w:val="1F4E79"/>
          <w:sz w:val="28"/>
          <w:szCs w:val="28"/>
        </w:rPr>
      </w:pPr>
      <w:bookmarkStart w:id="13" w:name="X905be37a005b9f770299778fabdc3bf0d7161fe"/>
      <w:r>
        <w:rPr>
          <w:b/>
          <w:bCs/>
          <w:color w:val="1F4E79"/>
          <w:sz w:val="28"/>
          <w:szCs w:val="28"/>
        </w:rPr>
        <w:t>6.1  Cross-Source Convergence (2019-2022)</w:t>
      </w:r>
    </w:p>
    <w:p w14:paraId="2AF990BF" w14:textId="77777777" w:rsidR="00AA49CE" w:rsidRPr="00AA49CE" w:rsidRDefault="00AA49CE" w:rsidP="00AA49CE">
      <w:pPr>
        <w:rPr>
          <w:rFonts w:ascii="Calibri" w:hAnsi="Calibri"/>
          <w:sz w:val="22"/>
        </w:rPr>
      </w:pPr>
      <w:r>
        <w:rPr>
          <w:rFonts w:ascii="Calibri" w:hAnsi="Calibri"/>
          <w:sz w:val="22"/>
        </w:rPr>
        <w:t>CBS crash records, Tel Aviv surveys, and enforcement data all show consistent upward trends in helmet compliance following the January 1, 2019 law. Field observations (2024–2025 only) confirm high general-population compliance at the end of the series but cannot document the upward trend from baseline.</w:t>
      </w:r>
    </w:p>
    <w:p w14:paraId="61369339" w14:textId="77357C75" w:rsidR="004A51A4" w:rsidRPr="00234B4A" w:rsidRDefault="004A51A4" w:rsidP="004A51A4">
      <w:pPr>
        <w:spacing w:before="240" w:after="120"/>
        <w:rPr>
          <w:sz w:val="18"/>
          <w:szCs w:val="18"/>
        </w:rPr>
      </w:pPr>
      <w:r>
        <w:rPr>
          <w:b/>
          <w:bCs/>
          <w:sz w:val="22"/>
          <w:szCs w:val="22"/>
        </w:rPr>
        <w:t xml:space="preserve">Table 8. </w:t>
      </w:r>
      <w:r>
        <w:rPr>
          <w:sz w:val="22"/>
          <w:szCs w:val="22"/>
        </w:rPr>
        <w:t>Four-Source Helmet Compliance Comparison (2018-2025)</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623"/>
        <w:gridCol w:w="1260"/>
        <w:gridCol w:w="1531"/>
        <w:gridCol w:w="1374"/>
        <w:gridCol w:w="3035"/>
      </w:tblGrid>
      <w:tr w:rsidR="004A51A4" w14:paraId="228199B4"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05BAD032" w14:textId="77777777" w:rsidR="004A51A4" w:rsidRDefault="004A51A4" w:rsidP="004C0940">
            <w:pPr>
              <w:jc w:val="center"/>
            </w:pPr>
            <w:r>
              <w:rPr>
                <w:b/>
                <w:bCs/>
                <w:color w:val="FFFFFF"/>
              </w:rPr>
              <w:t>Year</w:t>
            </w:r>
          </w:p>
        </w:tc>
        <w:tc>
          <w:tcPr>
            <w:tcW w:w="1623"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6AD1C383" w14:textId="77777777" w:rsidR="004A51A4" w:rsidRDefault="004A51A4" w:rsidP="004C0940">
            <w:pPr>
              <w:jc w:val="center"/>
            </w:pPr>
            <w:r>
              <w:rPr>
                <w:b/>
                <w:bCs/>
                <w:color w:val="FFFFFF"/>
              </w:rPr>
              <w:t>CBS All-Injury (Known)</w:t>
            </w:r>
          </w:p>
        </w:tc>
        <w:tc>
          <w:tcPr>
            <w:tcW w:w="126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0C465F05" w14:textId="77777777" w:rsidR="004A51A4" w:rsidRDefault="004A51A4" w:rsidP="004C0940">
            <w:pPr>
              <w:jc w:val="center"/>
            </w:pPr>
            <w:r>
              <w:rPr>
                <w:b/>
                <w:bCs/>
                <w:color w:val="FFFFFF"/>
              </w:rPr>
              <w:t>Survey ('always')</w:t>
            </w:r>
          </w:p>
        </w:tc>
        <w:tc>
          <w:tcPr>
            <w:tcW w:w="1531"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02B801FC" w14:textId="77777777" w:rsidR="004A51A4" w:rsidRDefault="004A51A4" w:rsidP="004C0940">
            <w:pPr>
              <w:jc w:val="center"/>
            </w:pPr>
            <w:r>
              <w:rPr>
                <w:b/>
                <w:bCs/>
                <w:color w:val="FFFFFF"/>
              </w:rPr>
              <w:t>Enforcement (ES fines)</w:t>
            </w:r>
          </w:p>
        </w:tc>
        <w:tc>
          <w:tcPr>
            <w:tcW w:w="1374"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6830D8BE" w14:textId="77777777" w:rsidR="004A51A4" w:rsidRDefault="004A51A4" w:rsidP="004C0940">
            <w:pPr>
              <w:jc w:val="center"/>
            </w:pPr>
            <w:r>
              <w:rPr>
                <w:b/>
                <w:bCs/>
                <w:color w:val="FFFFFF"/>
              </w:rPr>
              <w:t>Observations</w:t>
            </w:r>
          </w:p>
        </w:tc>
        <w:tc>
          <w:tcPr>
            <w:tcW w:w="3035"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vAlign w:val="center"/>
          </w:tcPr>
          <w:p w14:paraId="34F7D3B5" w14:textId="77777777" w:rsidR="004A51A4" w:rsidRDefault="004A51A4" w:rsidP="004C0940">
            <w:pPr>
              <w:jc w:val="center"/>
            </w:pPr>
            <w:r>
              <w:rPr>
                <w:b/>
                <w:bCs/>
                <w:color w:val="FFFFFF"/>
              </w:rPr>
              <w:t>Narrative</w:t>
            </w:r>
          </w:p>
        </w:tc>
      </w:tr>
      <w:tr w:rsidR="004A51A4" w14:paraId="597F1CF3"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60F244C9" w14:textId="77777777" w:rsidR="004A51A4" w:rsidRDefault="004A51A4" w:rsidP="004C0940">
            <w:pPr>
              <w:jc w:val="center"/>
            </w:pPr>
            <w:r>
              <w:rPr>
                <w:color w:val="000000"/>
              </w:rPr>
              <w:t>2018</w:t>
            </w:r>
          </w:p>
        </w:tc>
        <w:tc>
          <w:tcPr>
            <w:tcW w:w="162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4945CE47" w14:textId="77777777" w:rsidR="004A51A4" w:rsidRDefault="004A51A4" w:rsidP="004C0940">
            <w:pPr>
              <w:jc w:val="right"/>
            </w:pPr>
            <w:r>
              <w:rPr>
                <w:color w:val="000000"/>
              </w:rPr>
              <w:t>25.0%</w:t>
            </w:r>
          </w:p>
        </w:tc>
        <w:tc>
          <w:tcPr>
            <w:tcW w:w="126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6074BEB" w14:textId="77777777" w:rsidR="004A51A4" w:rsidRDefault="004A51A4" w:rsidP="004C0940">
            <w:pPr>
              <w:jc w:val="center"/>
            </w:pPr>
            <w:r>
              <w:rPr>
                <w:color w:val="000000"/>
              </w:rPr>
              <w:t>N/A</w:t>
            </w:r>
          </w:p>
        </w:tc>
        <w:tc>
          <w:tcPr>
            <w:tcW w:w="153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0F82CD8" w14:textId="77777777" w:rsidR="004A51A4" w:rsidRDefault="004A51A4" w:rsidP="004C0940">
            <w:pPr>
              <w:jc w:val="center"/>
            </w:pPr>
            <w:r>
              <w:rPr>
                <w:color w:val="000000"/>
              </w:rPr>
              <w:t>N/A</w:t>
            </w:r>
          </w:p>
        </w:tc>
        <w:tc>
          <w:tcPr>
            <w:tcW w:w="137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BDD3655" w14:textId="77777777" w:rsidR="004A51A4" w:rsidRDefault="004A51A4" w:rsidP="004C0940">
            <w:pPr>
              <w:jc w:val="center"/>
            </w:pPr>
            <w:r>
              <w:rPr>
                <w:color w:val="000000"/>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07A28E1" w14:textId="77777777" w:rsidR="004A51A4" w:rsidRDefault="004A51A4" w:rsidP="004C0940">
            <w:r>
              <w:rPr>
                <w:color w:val="000000"/>
              </w:rPr>
              <w:t>Pre-law baseline</w:t>
            </w:r>
          </w:p>
        </w:tc>
      </w:tr>
      <w:tr w:rsidR="004A51A4" w14:paraId="03D1DA9C"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7C866E9D" w14:textId="77777777" w:rsidR="004A51A4" w:rsidRDefault="004A51A4" w:rsidP="004C0940">
            <w:pPr>
              <w:jc w:val="center"/>
            </w:pPr>
            <w:r>
              <w:rPr>
                <w:color w:val="000000"/>
              </w:rPr>
              <w:t>2019</w:t>
            </w:r>
          </w:p>
        </w:tc>
        <w:tc>
          <w:tcPr>
            <w:tcW w:w="162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4C4E8328" w14:textId="3529342B" w:rsidR="004A51A4" w:rsidRDefault="004A51A4" w:rsidP="004C0940">
            <w:pPr>
              <w:jc w:val="right"/>
            </w:pPr>
            <w:r>
              <w:rPr>
                <w:color w:val="000000"/>
              </w:rPr>
              <w:t>45.1%</w:t>
            </w:r>
          </w:p>
        </w:tc>
        <w:tc>
          <w:tcPr>
            <w:tcW w:w="126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7B0A74C3" w14:textId="77777777" w:rsidR="004A51A4" w:rsidRDefault="004A51A4" w:rsidP="004C0940">
            <w:pPr>
              <w:jc w:val="right"/>
            </w:pPr>
            <w:r>
              <w:rPr>
                <w:color w:val="000000"/>
              </w:rPr>
              <w:t>22%</w:t>
            </w:r>
          </w:p>
        </w:tc>
        <w:tc>
          <w:tcPr>
            <w:tcW w:w="153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5B2E57DF" w14:textId="77777777" w:rsidR="004A51A4" w:rsidRDefault="004A51A4" w:rsidP="004C0940">
            <w:pPr>
              <w:jc w:val="right"/>
            </w:pPr>
            <w:r>
              <w:rPr>
                <w:color w:val="000000"/>
              </w:rPr>
              <w:t>2,208</w:t>
            </w:r>
          </w:p>
        </w:tc>
        <w:tc>
          <w:tcPr>
            <w:tcW w:w="137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BEDE9BE" w14:textId="77777777" w:rsidR="004A51A4" w:rsidRDefault="004A51A4" w:rsidP="004C0940">
            <w:pPr>
              <w:jc w:val="center"/>
            </w:pPr>
            <w:r>
              <w:rPr>
                <w:color w:val="000000"/>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12CEECD" w14:textId="08BDE987" w:rsidR="004A51A4" w:rsidRDefault="00300285" w:rsidP="004C0940">
            <w:r>
              <w:rPr>
                <w:rFonts w:ascii="Calibri" w:hAnsi="Calibri"/>
                <w:color w:val="1F4E79"/>
              </w:rPr>
              <w:t>Law enacted January 1, 2019</w:t>
            </w:r>
          </w:p>
        </w:tc>
      </w:tr>
      <w:tr w:rsidR="004A51A4" w14:paraId="176180E1"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24BC45A0" w14:textId="77777777" w:rsidR="004A51A4" w:rsidRDefault="004A51A4" w:rsidP="004C0940">
            <w:pPr>
              <w:jc w:val="center"/>
            </w:pPr>
            <w:r>
              <w:rPr>
                <w:color w:val="000000"/>
              </w:rPr>
              <w:t>2020</w:t>
            </w:r>
          </w:p>
        </w:tc>
        <w:tc>
          <w:tcPr>
            <w:tcW w:w="162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65C7D261" w14:textId="7F7BABA9" w:rsidR="004A51A4" w:rsidRDefault="004A51A4" w:rsidP="004C0940">
            <w:pPr>
              <w:jc w:val="right"/>
            </w:pPr>
            <w:r>
              <w:rPr>
                <w:color w:val="000000"/>
              </w:rPr>
              <w:t>60.2%</w:t>
            </w:r>
          </w:p>
        </w:tc>
        <w:tc>
          <w:tcPr>
            <w:tcW w:w="126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3DDEC97A" w14:textId="77777777" w:rsidR="004A51A4" w:rsidRDefault="004A51A4" w:rsidP="004C0940">
            <w:pPr>
              <w:jc w:val="right"/>
            </w:pPr>
            <w:r>
              <w:rPr>
                <w:color w:val="000000"/>
              </w:rPr>
              <w:t>35%</w:t>
            </w:r>
          </w:p>
        </w:tc>
        <w:tc>
          <w:tcPr>
            <w:tcW w:w="153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26E418ED" w14:textId="77777777" w:rsidR="004A51A4" w:rsidRDefault="004A51A4" w:rsidP="004C0940">
            <w:pPr>
              <w:jc w:val="right"/>
            </w:pPr>
            <w:r>
              <w:rPr>
                <w:color w:val="000000"/>
              </w:rPr>
              <w:t>3,254 (peak)</w:t>
            </w:r>
          </w:p>
        </w:tc>
        <w:tc>
          <w:tcPr>
            <w:tcW w:w="137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179CFA24" w14:textId="77777777" w:rsidR="004A51A4" w:rsidRDefault="004A51A4" w:rsidP="004C0940">
            <w:pPr>
              <w:jc w:val="center"/>
            </w:pPr>
            <w:r>
              <w:rPr>
                <w:color w:val="000000"/>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vAlign w:val="center"/>
          </w:tcPr>
          <w:p w14:paraId="7C34F9D6" w14:textId="6C470365" w:rsidR="00300285" w:rsidRPr="00300285" w:rsidRDefault="004A51A4" w:rsidP="00300285">
            <w:pPr>
              <w:rPr>
                <w:color w:val="000000"/>
              </w:rPr>
            </w:pPr>
            <w:r>
              <w:rPr>
                <w:color w:val="000000"/>
              </w:rPr>
              <w:t>Improvement Law1</w:t>
            </w:r>
          </w:p>
        </w:tc>
      </w:tr>
      <w:tr w:rsidR="004A51A4" w14:paraId="4EC8B6F2"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299EE37" w14:textId="77777777" w:rsidR="004A51A4" w:rsidRDefault="004A51A4" w:rsidP="004C0940">
            <w:pPr>
              <w:jc w:val="center"/>
            </w:pPr>
            <w:r>
              <w:rPr>
                <w:color w:val="1F4E79"/>
              </w:rPr>
              <w:t>2021</w:t>
            </w:r>
          </w:p>
        </w:tc>
        <w:tc>
          <w:tcPr>
            <w:tcW w:w="1623"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3654697B" w14:textId="4C4436A5" w:rsidR="004A51A4" w:rsidRDefault="004A51A4" w:rsidP="004C0940">
            <w:pPr>
              <w:jc w:val="right"/>
            </w:pPr>
            <w:r>
              <w:rPr>
                <w:color w:val="1F4E79"/>
              </w:rPr>
              <w:t>63.5%</w:t>
            </w:r>
          </w:p>
        </w:tc>
        <w:tc>
          <w:tcPr>
            <w:tcW w:w="12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F5F61AF" w14:textId="77777777" w:rsidR="004A51A4" w:rsidRDefault="004A51A4" w:rsidP="004C0940">
            <w:pPr>
              <w:jc w:val="right"/>
            </w:pPr>
            <w:r>
              <w:rPr>
                <w:color w:val="1F4E79"/>
              </w:rPr>
              <w:t>33%</w:t>
            </w:r>
          </w:p>
        </w:tc>
        <w:tc>
          <w:tcPr>
            <w:tcW w:w="153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93353C8" w14:textId="77777777" w:rsidR="004A51A4" w:rsidRDefault="004A51A4" w:rsidP="004C0940">
            <w:pPr>
              <w:jc w:val="right"/>
            </w:pPr>
            <w:r>
              <w:rPr>
                <w:color w:val="1F4E79"/>
              </w:rPr>
              <w:t>424 (−87%)</w:t>
            </w:r>
          </w:p>
        </w:tc>
        <w:tc>
          <w:tcPr>
            <w:tcW w:w="1374"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71221E5B" w14:textId="77777777" w:rsidR="004A51A4" w:rsidRDefault="004A51A4" w:rsidP="004C0940">
            <w:pPr>
              <w:jc w:val="center"/>
            </w:pPr>
            <w:r>
              <w:rPr>
                <w:color w:val="1F4E79"/>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44F38F2E" w14:textId="0234CC7D" w:rsidR="004A51A4" w:rsidRDefault="00300285" w:rsidP="004C0940">
            <w:r>
              <w:t>COVID redeployment + law compliance</w:t>
            </w:r>
          </w:p>
        </w:tc>
      </w:tr>
      <w:tr w:rsidR="004A51A4" w14:paraId="3719E370"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51F3696" w14:textId="77777777" w:rsidR="004A51A4" w:rsidRDefault="004A51A4" w:rsidP="004C0940">
            <w:pPr>
              <w:jc w:val="center"/>
            </w:pPr>
            <w:r>
              <w:rPr>
                <w:color w:val="1F4E79"/>
              </w:rPr>
              <w:t>2022</w:t>
            </w:r>
          </w:p>
        </w:tc>
        <w:tc>
          <w:tcPr>
            <w:tcW w:w="1623"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97DD5B6" w14:textId="450243E8" w:rsidR="004A51A4" w:rsidRDefault="004A51A4" w:rsidP="004C0940">
            <w:pPr>
              <w:jc w:val="right"/>
            </w:pPr>
            <w:r>
              <w:rPr>
                <w:color w:val="1F4E79"/>
              </w:rPr>
              <w:t>71.9%</w:t>
            </w:r>
          </w:p>
        </w:tc>
        <w:tc>
          <w:tcPr>
            <w:tcW w:w="12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B7C69F5" w14:textId="77777777" w:rsidR="004A51A4" w:rsidRDefault="004A51A4" w:rsidP="004C0940">
            <w:pPr>
              <w:jc w:val="right"/>
            </w:pPr>
            <w:r>
              <w:rPr>
                <w:color w:val="1F4E79"/>
              </w:rPr>
              <w:t>52%</w:t>
            </w:r>
          </w:p>
        </w:tc>
        <w:tc>
          <w:tcPr>
            <w:tcW w:w="153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3EF99061" w14:textId="77777777" w:rsidR="004A51A4" w:rsidRDefault="004A51A4" w:rsidP="004C0940">
            <w:pPr>
              <w:jc w:val="right"/>
            </w:pPr>
            <w:r>
              <w:rPr>
                <w:color w:val="1F4E79"/>
              </w:rPr>
              <w:t>415</w:t>
            </w:r>
          </w:p>
        </w:tc>
        <w:tc>
          <w:tcPr>
            <w:tcW w:w="1374"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724B1CF" w14:textId="77777777" w:rsidR="004A51A4" w:rsidRDefault="004A51A4" w:rsidP="004C0940">
            <w:pPr>
              <w:jc w:val="center"/>
            </w:pPr>
            <w:r>
              <w:rPr>
                <w:color w:val="1F4E79"/>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5C5FA23" w14:textId="01A70131" w:rsidR="004A51A4" w:rsidRDefault="00300285" w:rsidP="004C0940">
            <w:r>
              <w:t>Law2</w:t>
            </w:r>
          </w:p>
        </w:tc>
      </w:tr>
      <w:tr w:rsidR="004A51A4" w14:paraId="15E59FF9"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7737078A" w14:textId="77777777" w:rsidR="004A51A4" w:rsidRDefault="004A51A4" w:rsidP="004C0940">
            <w:pPr>
              <w:jc w:val="center"/>
            </w:pPr>
            <w:r>
              <w:rPr>
                <w:color w:val="1F4E79"/>
              </w:rPr>
              <w:t>2023</w:t>
            </w:r>
          </w:p>
        </w:tc>
        <w:tc>
          <w:tcPr>
            <w:tcW w:w="1623"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52940C2" w14:textId="0C7069F5" w:rsidR="004A51A4" w:rsidRDefault="00B80F7F" w:rsidP="004C0940">
            <w:pPr>
              <w:jc w:val="right"/>
            </w:pPr>
            <w:r>
              <w:rPr>
                <w:color w:val="1F4E79"/>
              </w:rPr>
              <w:t>55.8%</w:t>
            </w:r>
          </w:p>
        </w:tc>
        <w:tc>
          <w:tcPr>
            <w:tcW w:w="12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AA5FD42" w14:textId="77777777" w:rsidR="004A51A4" w:rsidRDefault="004A51A4" w:rsidP="004C0940">
            <w:pPr>
              <w:jc w:val="center"/>
            </w:pPr>
            <w:r>
              <w:rPr>
                <w:color w:val="1F4E79"/>
              </w:rPr>
              <w:t>N/A</w:t>
            </w:r>
          </w:p>
        </w:tc>
        <w:tc>
          <w:tcPr>
            <w:tcW w:w="153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7CF1C250" w14:textId="77777777" w:rsidR="004A51A4" w:rsidRDefault="004A51A4" w:rsidP="004C0940">
            <w:pPr>
              <w:jc w:val="right"/>
            </w:pPr>
            <w:r>
              <w:rPr>
                <w:color w:val="1F4E79"/>
              </w:rPr>
              <w:t>457</w:t>
            </w:r>
          </w:p>
        </w:tc>
        <w:tc>
          <w:tcPr>
            <w:tcW w:w="1374"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1B86222" w14:textId="77777777" w:rsidR="004A51A4" w:rsidRDefault="004A51A4" w:rsidP="004C0940">
            <w:pPr>
              <w:jc w:val="center"/>
            </w:pPr>
            <w:r>
              <w:rPr>
                <w:color w:val="1F4E79"/>
              </w:rPr>
              <w:t>N/A</w:t>
            </w:r>
          </w:p>
        </w:tc>
        <w:tc>
          <w:tcPr>
            <w:tcW w:w="303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7999A1EB" w14:textId="77777777" w:rsidR="004A51A4" w:rsidRDefault="004A51A4" w:rsidP="004C0940">
            <w:r>
              <w:rPr>
                <w:color w:val="1F4E79"/>
              </w:rPr>
              <w:t>CBS coverage declined</w:t>
            </w:r>
          </w:p>
        </w:tc>
      </w:tr>
      <w:tr w:rsidR="004A51A4" w14:paraId="3B2D787B"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536C0A4" w14:textId="77777777" w:rsidR="004A51A4" w:rsidRDefault="004A51A4" w:rsidP="004C0940">
            <w:pPr>
              <w:jc w:val="center"/>
            </w:pPr>
            <w:r>
              <w:rPr>
                <w:color w:val="1F4E79"/>
              </w:rPr>
              <w:t>2024</w:t>
            </w:r>
          </w:p>
        </w:tc>
        <w:tc>
          <w:tcPr>
            <w:tcW w:w="1623"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40891B5C" w14:textId="2989C055" w:rsidR="004A51A4" w:rsidRPr="00D3362A" w:rsidRDefault="00D3362A" w:rsidP="00D3362A">
            <w:pPr>
              <w:jc w:val="right"/>
              <w:rPr>
                <w:color w:val="1F4E79"/>
              </w:rPr>
            </w:pPr>
            <w:r>
              <w:rPr>
                <w:color w:val="1F4E79"/>
              </w:rPr>
              <w:t>63.2%</w:t>
            </w:r>
          </w:p>
        </w:tc>
        <w:tc>
          <w:tcPr>
            <w:tcW w:w="12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66EB72B5" w14:textId="77777777" w:rsidR="004A51A4" w:rsidRDefault="004A51A4" w:rsidP="004C0940">
            <w:pPr>
              <w:jc w:val="center"/>
            </w:pPr>
            <w:r>
              <w:rPr>
                <w:color w:val="1F4E79"/>
              </w:rPr>
              <w:t>N/A</w:t>
            </w:r>
          </w:p>
        </w:tc>
        <w:tc>
          <w:tcPr>
            <w:tcW w:w="153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719C853C" w14:textId="77777777" w:rsidR="004A51A4" w:rsidRDefault="004A51A4" w:rsidP="004C0940">
            <w:pPr>
              <w:jc w:val="right"/>
            </w:pPr>
            <w:r>
              <w:rPr>
                <w:color w:val="1F4E79"/>
              </w:rPr>
              <w:t>803</w:t>
            </w:r>
          </w:p>
        </w:tc>
        <w:tc>
          <w:tcPr>
            <w:tcW w:w="1374"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CB035D3" w14:textId="77777777" w:rsidR="004A51A4" w:rsidRDefault="004A51A4" w:rsidP="004C0940">
            <w:pPr>
              <w:jc w:val="right"/>
            </w:pPr>
            <w:r>
              <w:rPr>
                <w:color w:val="1F4E79"/>
              </w:rPr>
              <w:t>63.6%</w:t>
            </w:r>
          </w:p>
        </w:tc>
        <w:tc>
          <w:tcPr>
            <w:tcW w:w="303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F0DB034" w14:textId="77777777" w:rsidR="004A51A4" w:rsidRDefault="004A51A4" w:rsidP="004C0940">
            <w:r>
              <w:rPr>
                <w:color w:val="1F4E79"/>
              </w:rPr>
              <w:t>CBS unreliable</w:t>
            </w:r>
          </w:p>
        </w:tc>
      </w:tr>
      <w:tr w:rsidR="004A51A4" w14:paraId="0BFD793E" w14:textId="77777777" w:rsidTr="00300285">
        <w:tc>
          <w:tcPr>
            <w:tcW w:w="97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5A73EC5C" w14:textId="77777777" w:rsidR="004A51A4" w:rsidRDefault="004A51A4" w:rsidP="004C0940">
            <w:pPr>
              <w:jc w:val="center"/>
            </w:pPr>
            <w:r>
              <w:rPr>
                <w:color w:val="1F4E79"/>
              </w:rPr>
              <w:t>2025</w:t>
            </w:r>
          </w:p>
        </w:tc>
        <w:tc>
          <w:tcPr>
            <w:tcW w:w="1623"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2C3F71EB" w14:textId="3C80DA7D" w:rsidR="004A51A4" w:rsidRPr="00D3362A" w:rsidRDefault="00D3362A" w:rsidP="00D3362A">
            <w:pPr>
              <w:jc w:val="right"/>
              <w:rPr>
                <w:color w:val="1F4E79"/>
              </w:rPr>
            </w:pPr>
            <w:r>
              <w:rPr>
                <w:color w:val="1F4E79"/>
              </w:rPr>
              <w:t>46.8%</w:t>
            </w:r>
          </w:p>
        </w:tc>
        <w:tc>
          <w:tcPr>
            <w:tcW w:w="12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9021ED0" w14:textId="77777777" w:rsidR="004A51A4" w:rsidRDefault="004A51A4" w:rsidP="004C0940">
            <w:pPr>
              <w:jc w:val="center"/>
            </w:pPr>
            <w:r>
              <w:rPr>
                <w:color w:val="1F4E79"/>
              </w:rPr>
              <w:t>N/A</w:t>
            </w:r>
          </w:p>
        </w:tc>
        <w:tc>
          <w:tcPr>
            <w:tcW w:w="153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164CE42" w14:textId="77777777" w:rsidR="004A51A4" w:rsidRDefault="004A51A4" w:rsidP="004C0940">
            <w:pPr>
              <w:jc w:val="center"/>
            </w:pPr>
            <w:r>
              <w:rPr>
                <w:color w:val="1F4E79"/>
              </w:rPr>
              <w:t>N/A</w:t>
            </w:r>
          </w:p>
        </w:tc>
        <w:tc>
          <w:tcPr>
            <w:tcW w:w="1374"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13497267" w14:textId="77777777" w:rsidR="004A51A4" w:rsidRDefault="004A51A4" w:rsidP="004C0940">
            <w:pPr>
              <w:jc w:val="right"/>
            </w:pPr>
            <w:r>
              <w:rPr>
                <w:color w:val="1F4E79"/>
              </w:rPr>
              <w:t>79.1%</w:t>
            </w:r>
          </w:p>
        </w:tc>
        <w:tc>
          <w:tcPr>
            <w:tcW w:w="303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vAlign w:val="center"/>
          </w:tcPr>
          <w:p w14:paraId="03B68448" w14:textId="77777777" w:rsidR="004A51A4" w:rsidRDefault="004A51A4" w:rsidP="004C0940">
            <w:r>
              <w:rPr>
                <w:color w:val="1F4E79"/>
              </w:rPr>
              <w:t>CBS unreliable</w:t>
            </w:r>
          </w:p>
        </w:tc>
      </w:tr>
    </w:tbl>
    <w:p w14:paraId="25EF4170" w14:textId="77777777" w:rsidR="004008DF" w:rsidRDefault="004008DF" w:rsidP="004A51A4">
      <w:pPr>
        <w:spacing w:before="240" w:after="240"/>
        <w:rPr>
          <w:b/>
          <w:bCs/>
        </w:rPr>
      </w:pPr>
    </w:p>
    <w:p w14:paraId="06402442" w14:textId="7180D1A5" w:rsidR="00AA49CE" w:rsidRPr="00307310" w:rsidRDefault="00300285" w:rsidP="00300285">
      <w:pPr>
        <w:jc w:val="center"/>
        <w:rPr>
          <w:rFonts w:ascii="Calibri" w:hAnsi="Calibri"/>
          <w:b/>
          <w:bCs/>
          <w:sz w:val="22"/>
        </w:rPr>
      </w:pPr>
      <w:r>
        <w:rPr>
          <w:rFonts w:ascii="Calibri" w:hAnsi="Calibri"/>
          <w:b/>
          <w:bCs/>
          <w:sz w:val="22"/>
        </w:rPr>
        <w:lastRenderedPageBreak/>
        <w:t>Four-Source Helmet Compliance Comparison</w:t>
      </w:r>
    </w:p>
    <w:p w14:paraId="6C9EC7F2" w14:textId="77777777" w:rsidR="00AA49CE" w:rsidRPr="00307310" w:rsidRDefault="00AA49CE" w:rsidP="00307310">
      <w:pPr>
        <w:jc w:val="center"/>
        <w:rPr>
          <w:rFonts w:ascii="Calibri" w:hAnsi="Calibri"/>
          <w:b/>
          <w:bCs/>
          <w:sz w:val="22"/>
        </w:rPr>
      </w:pPr>
    </w:p>
    <w:p w14:paraId="04525AF5" w14:textId="6843D4EF" w:rsidR="00C93700" w:rsidRPr="00C93700" w:rsidRDefault="00C93700" w:rsidP="00C93700">
      <w:pPr>
        <w:jc w:val="center"/>
        <w:rPr>
          <w:rFonts w:ascii="Calibri" w:hAnsi="Calibri"/>
          <w:i/>
          <w:iCs/>
          <w:sz w:val="22"/>
        </w:rPr>
      </w:pPr>
      <w:r>
        <w:rPr>
          <w:rFonts w:ascii="Calibri" w:hAnsi="Calibri"/>
          <w:i/>
          <w:iCs/>
          <w:noProof/>
          <w:sz w:val="22"/>
        </w:rPr>
        <w:drawing>
          <wp:inline distT="0" distB="0" distL="0" distR="0" wp14:anchorId="75CE3EF6" wp14:editId="65398C0C">
            <wp:extent cx="5467350" cy="2393950"/>
            <wp:effectExtent l="0" t="0" r="0" b="6350"/>
            <wp:docPr id="15482181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7350" cy="2393950"/>
                    </a:xfrm>
                    <a:prstGeom prst="rect">
                      <a:avLst/>
                    </a:prstGeom>
                    <a:noFill/>
                    <a:ln>
                      <a:noFill/>
                    </a:ln>
                  </pic:spPr>
                </pic:pic>
              </a:graphicData>
            </a:graphic>
          </wp:inline>
        </w:drawing>
      </w:r>
    </w:p>
    <w:p w14:paraId="7CF57D1E" w14:textId="4969F3B1" w:rsidR="00300285" w:rsidRPr="00300285" w:rsidRDefault="00300285" w:rsidP="00300285">
      <w:pPr>
        <w:jc w:val="center"/>
        <w:rPr>
          <w:rFonts w:ascii="Calibri" w:hAnsi="Calibri"/>
          <w:i/>
          <w:iCs/>
          <w:sz w:val="22"/>
        </w:rPr>
      </w:pPr>
    </w:p>
    <w:p w14:paraId="2A17BEBB" w14:textId="19C572C5" w:rsidR="00307310" w:rsidRDefault="00307310" w:rsidP="00307310">
      <w:pPr>
        <w:jc w:val="center"/>
        <w:rPr>
          <w:rFonts w:ascii="Calibri" w:hAnsi="Calibri"/>
          <w:i/>
          <w:iCs/>
          <w:sz w:val="22"/>
        </w:rPr>
      </w:pPr>
    </w:p>
    <w:p w14:paraId="2A229A3A" w14:textId="70B7DAF0" w:rsidR="00AA49CE" w:rsidRDefault="00AA49CE" w:rsidP="00300285">
      <w:pPr>
        <w:jc w:val="center"/>
        <w:rPr>
          <w:rFonts w:ascii="Calibri" w:hAnsi="Calibri"/>
          <w:i/>
          <w:iCs/>
          <w:sz w:val="22"/>
        </w:rPr>
      </w:pPr>
      <w:r>
        <w:rPr>
          <w:rFonts w:ascii="Calibri" w:hAnsi="Calibri"/>
          <w:i/>
          <w:iCs/>
          <w:sz w:val="22"/>
        </w:rPr>
        <w:t>Figure 6.1: Four-source helmet compliance comparison, 2018–2025</w:t>
      </w:r>
    </w:p>
    <w:p w14:paraId="41653D8A" w14:textId="77777777" w:rsidR="004008DF" w:rsidRDefault="004008DF" w:rsidP="00300285">
      <w:pPr>
        <w:jc w:val="center"/>
        <w:rPr>
          <w:rFonts w:ascii="Calibri" w:hAnsi="Calibri"/>
          <w:i/>
          <w:iCs/>
          <w:sz w:val="22"/>
        </w:rPr>
      </w:pPr>
    </w:p>
    <w:p w14:paraId="2953EB4B" w14:textId="71E30339" w:rsidR="004008DF" w:rsidRDefault="004008DF" w:rsidP="00A12799">
      <w:pPr>
        <w:spacing w:before="240" w:after="240"/>
      </w:pPr>
      <w:r>
        <w:rPr>
          <w:b/>
          <w:bCs/>
        </w:rPr>
        <w:t>Key Finding: Despite different measurement approaches and population samples, all sources document substantial improvement from pre-law baselines. The convergence validates the law's real-world impact beyond any single data source's limitations.</w:t>
      </w:r>
    </w:p>
    <w:p w14:paraId="13766F7F" w14:textId="77777777" w:rsidR="004008DF" w:rsidRPr="00A12799" w:rsidRDefault="004008DF" w:rsidP="00A12799">
      <w:pPr>
        <w:pStyle w:val="Heading2"/>
        <w:spacing w:before="480" w:after="240"/>
        <w:rPr>
          <w:b/>
          <w:bCs/>
          <w:color w:val="1F4E79"/>
          <w:sz w:val="28"/>
          <w:szCs w:val="28"/>
        </w:rPr>
      </w:pPr>
      <w:r>
        <w:rPr>
          <w:b/>
          <w:bCs/>
          <w:color w:val="1F4E79"/>
          <w:sz w:val="28"/>
          <w:szCs w:val="28"/>
        </w:rPr>
        <w:t>6.2 The Compliance Gap: CBS Crash Data vs Field Observations</w:t>
      </w:r>
    </w:p>
    <w:p w14:paraId="082A4A86" w14:textId="44038830" w:rsidR="004008DF" w:rsidRPr="004008DF" w:rsidRDefault="004008DF" w:rsidP="004008DF">
      <w:pPr>
        <w:rPr>
          <w:rFonts w:ascii="Calibri" w:hAnsi="Calibri"/>
          <w:sz w:val="22"/>
        </w:rPr>
      </w:pPr>
      <w:r>
        <w:rPr>
          <w:rFonts w:ascii="Calibri" w:hAnsi="Calibri"/>
          <w:sz w:val="22"/>
        </w:rPr>
        <w:t>A critical pattern emerges when comparing crash victims (CBS) to general riders (observations).</w:t>
      </w:r>
    </w:p>
    <w:p w14:paraId="1F814AA2" w14:textId="77777777" w:rsidR="00307310" w:rsidRDefault="00307310" w:rsidP="00307310">
      <w:pPr>
        <w:jc w:val="center"/>
        <w:rPr>
          <w:rFonts w:ascii="Calibri" w:hAnsi="Calibri"/>
          <w:b/>
          <w:bCs/>
          <w:sz w:val="22"/>
        </w:rPr>
      </w:pPr>
    </w:p>
    <w:p w14:paraId="095F273E" w14:textId="0FF74F82" w:rsidR="00AA49CE" w:rsidRPr="00AA49CE" w:rsidRDefault="00801755" w:rsidP="00AA49CE">
      <w:pPr>
        <w:rPr>
          <w:rFonts w:ascii="Calibri" w:hAnsi="Calibri"/>
          <w:sz w:val="22"/>
        </w:rPr>
      </w:pPr>
      <w:r>
        <w:rPr>
          <w:rFonts w:ascii="Calibri" w:hAnsi="Calibri"/>
          <w:b/>
          <w:bCs/>
          <w:sz w:val="22"/>
        </w:rPr>
        <w:t>Table 9. Crashes – Observations Gap (2024-2025):</w:t>
      </w:r>
    </w:p>
    <w:tbl>
      <w:tblPr>
        <w:tblW w:w="935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2385"/>
        <w:gridCol w:w="2048"/>
        <w:gridCol w:w="1890"/>
        <w:gridCol w:w="1440"/>
      </w:tblGrid>
      <w:tr w:rsidR="00234B4A" w:rsidRPr="00AA49CE" w14:paraId="1B30BC10" w14:textId="6F2C6A6F" w:rsidTr="00234B4A">
        <w:trPr>
          <w:tblHeader/>
          <w:tblCellSpacing w:w="15" w:type="dxa"/>
        </w:trPr>
        <w:tc>
          <w:tcPr>
            <w:tcW w:w="0" w:type="auto"/>
            <w:shd w:val="clear" w:color="auto" w:fill="215E99" w:themeFill="text2" w:themeFillTint="BF"/>
            <w:vAlign w:val="center"/>
            <w:hideMark/>
          </w:tcPr>
          <w:p w14:paraId="227138E3" w14:textId="77777777" w:rsidR="00234B4A" w:rsidRPr="00AA49CE" w:rsidRDefault="00234B4A" w:rsidP="00AA49CE">
            <w:pPr>
              <w:rPr>
                <w:rFonts w:ascii="Calibri" w:hAnsi="Calibri"/>
                <w:color w:val="FFFFFF"/>
              </w:rPr>
            </w:pPr>
            <w:r>
              <w:rPr>
                <w:rFonts w:ascii="Calibri" w:hAnsi="Calibri"/>
                <w:color w:val="FFFFFF"/>
              </w:rPr>
              <w:t>Data Source</w:t>
            </w:r>
          </w:p>
        </w:tc>
        <w:tc>
          <w:tcPr>
            <w:tcW w:w="0" w:type="auto"/>
            <w:shd w:val="clear" w:color="auto" w:fill="215E99" w:themeFill="text2" w:themeFillTint="BF"/>
            <w:vAlign w:val="center"/>
            <w:hideMark/>
          </w:tcPr>
          <w:p w14:paraId="6CA01B41" w14:textId="77777777" w:rsidR="00234B4A" w:rsidRPr="00AA49CE" w:rsidRDefault="00234B4A" w:rsidP="00AA49CE">
            <w:pPr>
              <w:rPr>
                <w:rFonts w:ascii="Calibri" w:hAnsi="Calibri"/>
                <w:color w:val="FFFFFF"/>
              </w:rPr>
            </w:pPr>
            <w:r>
              <w:rPr>
                <w:rFonts w:ascii="Calibri" w:hAnsi="Calibri"/>
                <w:color w:val="FFFFFF"/>
              </w:rPr>
              <w:t>Population</w:t>
            </w:r>
          </w:p>
        </w:tc>
        <w:tc>
          <w:tcPr>
            <w:tcW w:w="2018" w:type="dxa"/>
            <w:shd w:val="clear" w:color="auto" w:fill="215E99" w:themeFill="text2" w:themeFillTint="BF"/>
            <w:vAlign w:val="center"/>
            <w:hideMark/>
          </w:tcPr>
          <w:p w14:paraId="55426EB2" w14:textId="77777777" w:rsidR="00234B4A" w:rsidRPr="00AA49CE" w:rsidRDefault="00234B4A" w:rsidP="00AA49CE">
            <w:pPr>
              <w:rPr>
                <w:rFonts w:ascii="Calibri" w:hAnsi="Calibri"/>
                <w:color w:val="FFFFFF"/>
              </w:rPr>
            </w:pPr>
            <w:r>
              <w:rPr>
                <w:rFonts w:ascii="Calibri" w:hAnsi="Calibri"/>
                <w:color w:val="FFFFFF"/>
              </w:rPr>
              <w:t>2024 Rate</w:t>
            </w:r>
          </w:p>
        </w:tc>
        <w:tc>
          <w:tcPr>
            <w:tcW w:w="1860" w:type="dxa"/>
            <w:shd w:val="clear" w:color="auto" w:fill="215E99" w:themeFill="text2" w:themeFillTint="BF"/>
            <w:vAlign w:val="center"/>
            <w:hideMark/>
          </w:tcPr>
          <w:p w14:paraId="709D73A9" w14:textId="77777777" w:rsidR="00234B4A" w:rsidRPr="00AA49CE" w:rsidRDefault="00234B4A" w:rsidP="00AA49CE">
            <w:pPr>
              <w:rPr>
                <w:rFonts w:ascii="Calibri" w:hAnsi="Calibri"/>
                <w:color w:val="FFFFFF"/>
              </w:rPr>
            </w:pPr>
            <w:r>
              <w:rPr>
                <w:rFonts w:ascii="Calibri" w:hAnsi="Calibri"/>
                <w:color w:val="FFFFFF"/>
              </w:rPr>
              <w:t>2025 Rate</w:t>
            </w:r>
          </w:p>
        </w:tc>
        <w:tc>
          <w:tcPr>
            <w:tcW w:w="1395" w:type="dxa"/>
            <w:shd w:val="clear" w:color="auto" w:fill="215E99" w:themeFill="text2" w:themeFillTint="BF"/>
            <w:vAlign w:val="center"/>
            <w:hideMark/>
          </w:tcPr>
          <w:p w14:paraId="636B01CB" w14:textId="77777777" w:rsidR="00234B4A" w:rsidRPr="00AA49CE" w:rsidRDefault="00234B4A" w:rsidP="00AA49CE">
            <w:pPr>
              <w:rPr>
                <w:rFonts w:ascii="Calibri" w:hAnsi="Calibri"/>
                <w:color w:val="FFFFFF"/>
              </w:rPr>
            </w:pPr>
            <w:r>
              <w:rPr>
                <w:rFonts w:ascii="Calibri" w:hAnsi="Calibri"/>
                <w:color w:val="FFFFFF"/>
              </w:rPr>
              <w:t>Combined</w:t>
            </w:r>
          </w:p>
        </w:tc>
      </w:tr>
      <w:tr w:rsidR="00234B4A" w:rsidRPr="00AA49CE" w14:paraId="4F29FD69" w14:textId="0559FD7C" w:rsidTr="00234B4A">
        <w:trPr>
          <w:tblCellSpacing w:w="15" w:type="dxa"/>
        </w:trPr>
        <w:tc>
          <w:tcPr>
            <w:tcW w:w="0" w:type="auto"/>
            <w:vAlign w:val="center"/>
            <w:hideMark/>
          </w:tcPr>
          <w:p w14:paraId="37AB7A32" w14:textId="77777777" w:rsidR="00234B4A" w:rsidRPr="00AA49CE" w:rsidRDefault="00234B4A" w:rsidP="00AA49CE">
            <w:pPr>
              <w:rPr>
                <w:rFonts w:ascii="Calibri" w:hAnsi="Calibri"/>
              </w:rPr>
            </w:pPr>
            <w:r>
              <w:rPr>
                <w:rFonts w:ascii="Calibri" w:hAnsi="Calibri"/>
              </w:rPr>
              <w:t>Field Observations</w:t>
            </w:r>
          </w:p>
        </w:tc>
        <w:tc>
          <w:tcPr>
            <w:tcW w:w="0" w:type="auto"/>
            <w:vAlign w:val="center"/>
            <w:hideMark/>
          </w:tcPr>
          <w:p w14:paraId="487B9579" w14:textId="77777777" w:rsidR="00234B4A" w:rsidRPr="00AA49CE" w:rsidRDefault="00234B4A" w:rsidP="00AA49CE">
            <w:pPr>
              <w:rPr>
                <w:rFonts w:ascii="Calibri" w:hAnsi="Calibri"/>
              </w:rPr>
            </w:pPr>
            <w:r>
              <w:rPr>
                <w:rFonts w:ascii="Calibri" w:hAnsi="Calibri"/>
              </w:rPr>
              <w:t>General street riders</w:t>
            </w:r>
          </w:p>
        </w:tc>
        <w:tc>
          <w:tcPr>
            <w:tcW w:w="2018" w:type="dxa"/>
            <w:vAlign w:val="center"/>
            <w:hideMark/>
          </w:tcPr>
          <w:p w14:paraId="48221D78" w14:textId="365CC0ED" w:rsidR="00234B4A" w:rsidRPr="00AA49CE" w:rsidRDefault="00234B4A" w:rsidP="00AA49CE">
            <w:pPr>
              <w:rPr>
                <w:rFonts w:ascii="Calibri" w:hAnsi="Calibri"/>
              </w:rPr>
            </w:pPr>
            <w:r>
              <w:rPr>
                <w:rFonts w:ascii="Calibri" w:hAnsi="Calibri"/>
              </w:rPr>
              <w:t>63.6% (116 in 182)</w:t>
            </w:r>
          </w:p>
        </w:tc>
        <w:tc>
          <w:tcPr>
            <w:tcW w:w="1860" w:type="dxa"/>
            <w:vAlign w:val="center"/>
            <w:hideMark/>
          </w:tcPr>
          <w:p w14:paraId="5FD16E9E" w14:textId="3CE6B691" w:rsidR="00234B4A" w:rsidRPr="00AA49CE" w:rsidRDefault="00234B4A" w:rsidP="00AA49CE">
            <w:pPr>
              <w:rPr>
                <w:rFonts w:ascii="Calibri" w:hAnsi="Calibri"/>
              </w:rPr>
            </w:pPr>
            <w:r>
              <w:rPr>
                <w:rFonts w:ascii="Calibri" w:hAnsi="Calibri"/>
              </w:rPr>
              <w:t>79.1% (1,261 in 1595)</w:t>
            </w:r>
          </w:p>
        </w:tc>
        <w:tc>
          <w:tcPr>
            <w:tcW w:w="1395" w:type="dxa"/>
            <w:vAlign w:val="center"/>
            <w:hideMark/>
          </w:tcPr>
          <w:p w14:paraId="008D7E11" w14:textId="0223CEC6" w:rsidR="00234B4A" w:rsidRPr="00AA49CE" w:rsidRDefault="00234B4A" w:rsidP="00AA49CE">
            <w:pPr>
              <w:rPr>
                <w:rFonts w:ascii="Calibri" w:hAnsi="Calibri"/>
              </w:rPr>
            </w:pPr>
            <w:r>
              <w:rPr>
                <w:rFonts w:ascii="Calibri" w:hAnsi="Calibri"/>
              </w:rPr>
              <w:t xml:space="preserve">77.5% </w:t>
            </w:r>
          </w:p>
        </w:tc>
      </w:tr>
      <w:tr w:rsidR="00234B4A" w:rsidRPr="00AA49CE" w14:paraId="227E6C06" w14:textId="025C3F4F" w:rsidTr="00234B4A">
        <w:trPr>
          <w:tblCellSpacing w:w="15" w:type="dxa"/>
        </w:trPr>
        <w:tc>
          <w:tcPr>
            <w:tcW w:w="0" w:type="auto"/>
            <w:vAlign w:val="center"/>
            <w:hideMark/>
          </w:tcPr>
          <w:p w14:paraId="18EB7792" w14:textId="77777777" w:rsidR="00234B4A" w:rsidRPr="00AA49CE" w:rsidRDefault="00234B4A" w:rsidP="00AA49CE">
            <w:pPr>
              <w:rPr>
                <w:rFonts w:ascii="Calibri" w:hAnsi="Calibri"/>
              </w:rPr>
            </w:pPr>
            <w:r>
              <w:rPr>
                <w:rFonts w:ascii="Calibri" w:hAnsi="Calibri"/>
              </w:rPr>
              <w:t>CBS Crash Data</w:t>
            </w:r>
          </w:p>
        </w:tc>
        <w:tc>
          <w:tcPr>
            <w:tcW w:w="0" w:type="auto"/>
            <w:vAlign w:val="center"/>
            <w:hideMark/>
          </w:tcPr>
          <w:p w14:paraId="1C56D37D" w14:textId="77777777" w:rsidR="00234B4A" w:rsidRPr="00AA49CE" w:rsidRDefault="00234B4A" w:rsidP="00AA49CE">
            <w:pPr>
              <w:rPr>
                <w:rFonts w:ascii="Calibri" w:hAnsi="Calibri"/>
              </w:rPr>
            </w:pPr>
            <w:r>
              <w:rPr>
                <w:rFonts w:ascii="Calibri" w:hAnsi="Calibri"/>
              </w:rPr>
              <w:t>Crash victims (known status)</w:t>
            </w:r>
          </w:p>
        </w:tc>
        <w:tc>
          <w:tcPr>
            <w:tcW w:w="2018" w:type="dxa"/>
            <w:vAlign w:val="center"/>
            <w:hideMark/>
          </w:tcPr>
          <w:p w14:paraId="49FC25C5" w14:textId="5F58AED2" w:rsidR="00234B4A" w:rsidRPr="00AA49CE" w:rsidRDefault="00234B4A" w:rsidP="00AA49CE">
            <w:pPr>
              <w:rPr>
                <w:rFonts w:ascii="Calibri" w:hAnsi="Calibri"/>
              </w:rPr>
            </w:pPr>
            <w:r>
              <w:rPr>
                <w:rFonts w:ascii="Calibri" w:hAnsi="Calibri"/>
              </w:rPr>
              <w:t>63.2% (36 in 57)</w:t>
            </w:r>
          </w:p>
        </w:tc>
        <w:tc>
          <w:tcPr>
            <w:tcW w:w="1860" w:type="dxa"/>
            <w:vAlign w:val="center"/>
            <w:hideMark/>
          </w:tcPr>
          <w:p w14:paraId="6941DBB8" w14:textId="0BE0A74F" w:rsidR="00234B4A" w:rsidRPr="00AA49CE" w:rsidRDefault="00234B4A" w:rsidP="00AA49CE">
            <w:pPr>
              <w:rPr>
                <w:rFonts w:ascii="Calibri" w:hAnsi="Calibri"/>
              </w:rPr>
            </w:pPr>
            <w:r>
              <w:rPr>
                <w:rFonts w:ascii="Calibri" w:hAnsi="Calibri"/>
              </w:rPr>
              <w:t>46.8% (29 in 62)</w:t>
            </w:r>
          </w:p>
        </w:tc>
        <w:tc>
          <w:tcPr>
            <w:tcW w:w="1395" w:type="dxa"/>
            <w:vAlign w:val="center"/>
            <w:hideMark/>
          </w:tcPr>
          <w:p w14:paraId="1E9703ED" w14:textId="5ECD8B2E" w:rsidR="00234B4A" w:rsidRPr="00AA49CE" w:rsidRDefault="00234B4A" w:rsidP="00AA49CE">
            <w:pPr>
              <w:rPr>
                <w:rFonts w:ascii="Calibri" w:hAnsi="Calibri"/>
              </w:rPr>
            </w:pPr>
            <w:r>
              <w:rPr>
                <w:rFonts w:ascii="Calibri" w:hAnsi="Calibri"/>
              </w:rPr>
              <w:t xml:space="preserve">59.2% </w:t>
            </w:r>
          </w:p>
        </w:tc>
      </w:tr>
      <w:tr w:rsidR="00234B4A" w:rsidRPr="00AA49CE" w14:paraId="01808B33" w14:textId="0F5B72A7" w:rsidTr="00234B4A">
        <w:trPr>
          <w:tblCellSpacing w:w="15" w:type="dxa"/>
        </w:trPr>
        <w:tc>
          <w:tcPr>
            <w:tcW w:w="0" w:type="auto"/>
            <w:shd w:val="clear" w:color="auto" w:fill="DAE9F7" w:themeFill="text2" w:themeFillTint="1A"/>
            <w:vAlign w:val="center"/>
            <w:hideMark/>
          </w:tcPr>
          <w:p w14:paraId="6702DC3F" w14:textId="77777777" w:rsidR="00234B4A" w:rsidRPr="00AA49CE" w:rsidRDefault="00234B4A" w:rsidP="00AA49CE">
            <w:pPr>
              <w:rPr>
                <w:rFonts w:ascii="Calibri" w:hAnsi="Calibri"/>
              </w:rPr>
            </w:pPr>
            <w:r>
              <w:rPr>
                <w:rFonts w:ascii="Calibri" w:hAnsi="Calibri"/>
              </w:rPr>
              <w:t>Gap</w:t>
            </w:r>
          </w:p>
        </w:tc>
        <w:tc>
          <w:tcPr>
            <w:tcW w:w="0" w:type="auto"/>
            <w:shd w:val="clear" w:color="auto" w:fill="DAE9F7" w:themeFill="text2" w:themeFillTint="1A"/>
            <w:vAlign w:val="center"/>
            <w:hideMark/>
          </w:tcPr>
          <w:p w14:paraId="73C85452" w14:textId="77777777" w:rsidR="00234B4A" w:rsidRPr="00AA49CE" w:rsidRDefault="00234B4A" w:rsidP="00AA49CE">
            <w:pPr>
              <w:rPr>
                <w:rFonts w:ascii="Calibri" w:hAnsi="Calibri"/>
              </w:rPr>
            </w:pPr>
          </w:p>
        </w:tc>
        <w:tc>
          <w:tcPr>
            <w:tcW w:w="2018" w:type="dxa"/>
            <w:shd w:val="clear" w:color="auto" w:fill="DAE9F7" w:themeFill="text2" w:themeFillTint="1A"/>
            <w:vAlign w:val="center"/>
            <w:hideMark/>
          </w:tcPr>
          <w:p w14:paraId="6757BC28" w14:textId="77777777" w:rsidR="00234B4A" w:rsidRPr="00AA49CE" w:rsidRDefault="00234B4A" w:rsidP="00AA49CE">
            <w:pPr>
              <w:rPr>
                <w:rFonts w:ascii="Calibri" w:hAnsi="Calibri"/>
              </w:rPr>
            </w:pPr>
            <w:r>
              <w:rPr>
                <w:rFonts w:ascii="Calibri" w:hAnsi="Calibri"/>
              </w:rPr>
              <w:t>+0.4 pts</w:t>
            </w:r>
          </w:p>
        </w:tc>
        <w:tc>
          <w:tcPr>
            <w:tcW w:w="1860" w:type="dxa"/>
            <w:shd w:val="clear" w:color="auto" w:fill="DAE9F7" w:themeFill="text2" w:themeFillTint="1A"/>
            <w:vAlign w:val="center"/>
            <w:hideMark/>
          </w:tcPr>
          <w:p w14:paraId="2BDA39CD" w14:textId="77777777" w:rsidR="00234B4A" w:rsidRPr="00AA49CE" w:rsidRDefault="00234B4A" w:rsidP="00AA49CE">
            <w:pPr>
              <w:rPr>
                <w:rFonts w:ascii="Calibri" w:hAnsi="Calibri"/>
              </w:rPr>
            </w:pPr>
            <w:r>
              <w:rPr>
                <w:rFonts w:ascii="Calibri" w:hAnsi="Calibri"/>
              </w:rPr>
              <w:t>+32.3 pts</w:t>
            </w:r>
          </w:p>
        </w:tc>
        <w:tc>
          <w:tcPr>
            <w:tcW w:w="1395" w:type="dxa"/>
            <w:shd w:val="clear" w:color="auto" w:fill="DAE9F7" w:themeFill="text2" w:themeFillTint="1A"/>
            <w:vAlign w:val="center"/>
            <w:hideMark/>
          </w:tcPr>
          <w:p w14:paraId="6DE83D32" w14:textId="77777777" w:rsidR="00234B4A" w:rsidRPr="00AA49CE" w:rsidRDefault="00234B4A" w:rsidP="00AA49CE">
            <w:pPr>
              <w:rPr>
                <w:rFonts w:ascii="Calibri" w:hAnsi="Calibri"/>
              </w:rPr>
            </w:pPr>
            <w:r>
              <w:rPr>
                <w:rFonts w:ascii="Calibri" w:hAnsi="Calibri"/>
              </w:rPr>
              <w:t>+18.3 pts</w:t>
            </w:r>
          </w:p>
        </w:tc>
      </w:tr>
    </w:tbl>
    <w:p w14:paraId="128DAD14" w14:textId="77777777" w:rsidR="00234B4A" w:rsidRDefault="00234B4A" w:rsidP="00AA49CE">
      <w:pPr>
        <w:rPr>
          <w:rFonts w:ascii="Calibri" w:hAnsi="Calibri"/>
          <w:b/>
          <w:bCs/>
          <w:sz w:val="22"/>
        </w:rPr>
      </w:pPr>
    </w:p>
    <w:p w14:paraId="3D21B4A9" w14:textId="1F6220B6" w:rsidR="00AA49CE" w:rsidRPr="00AA49CE" w:rsidRDefault="00AA49CE" w:rsidP="00AA49CE">
      <w:pPr>
        <w:rPr>
          <w:rFonts w:ascii="Calibri" w:hAnsi="Calibri"/>
          <w:sz w:val="22"/>
        </w:rPr>
      </w:pPr>
      <w:r>
        <w:rPr>
          <w:rFonts w:ascii="Calibri" w:hAnsi="Calibri"/>
          <w:b/>
          <w:bCs/>
          <w:sz w:val="22"/>
        </w:rPr>
        <w:t>Two competing interpretations:</w:t>
      </w:r>
    </w:p>
    <w:p w14:paraId="511C998D" w14:textId="77777777" w:rsidR="00AA49CE" w:rsidRPr="00AA49CE" w:rsidRDefault="00AA49CE" w:rsidP="00AA49CE">
      <w:pPr>
        <w:numPr>
          <w:ilvl w:val="0"/>
          <w:numId w:val="49"/>
        </w:numPr>
        <w:rPr>
          <w:rFonts w:ascii="Calibri" w:hAnsi="Calibri"/>
          <w:sz w:val="22"/>
        </w:rPr>
      </w:pPr>
      <w:r>
        <w:rPr>
          <w:rFonts w:ascii="Calibri" w:hAnsi="Calibri"/>
          <w:b/>
          <w:bCs/>
          <w:sz w:val="22"/>
        </w:rPr>
        <w:t>Data quality explanation:</w:t>
      </w:r>
      <w:r>
        <w:rPr>
          <w:rFonts w:ascii="Calibri" w:hAnsi="Calibri"/>
          <w:sz w:val="22"/>
        </w:rPr>
        <w:t xml:space="preserve"> CBS 2025 coverage dropped to 14.7% (down from 25% in 2018). Unknown helmet status increased to 85.3%. The severe coverage crisis means CBS 2025 data may not represent the true crash population.</w:t>
      </w:r>
    </w:p>
    <w:p w14:paraId="513B8E1D" w14:textId="77777777" w:rsidR="00AA49CE" w:rsidRPr="00AA49CE" w:rsidRDefault="00AA49CE" w:rsidP="00AA49CE">
      <w:pPr>
        <w:numPr>
          <w:ilvl w:val="0"/>
          <w:numId w:val="49"/>
        </w:numPr>
        <w:rPr>
          <w:rFonts w:ascii="Calibri" w:hAnsi="Calibri"/>
          <w:sz w:val="22"/>
        </w:rPr>
      </w:pPr>
      <w:r>
        <w:rPr>
          <w:rFonts w:ascii="Calibri" w:hAnsi="Calibri"/>
          <w:b/>
          <w:bCs/>
          <w:sz w:val="22"/>
        </w:rPr>
        <w:t>Risk explanation:</w:t>
      </w:r>
      <w:r>
        <w:rPr>
          <w:rFonts w:ascii="Calibri" w:hAnsi="Calibri"/>
          <w:sz w:val="22"/>
        </w:rPr>
        <w:t xml:space="preserve"> Non-compliant riders may be overrepresented in crashes. Riders who ignore helmet laws may also engage in other risky behaviors (speeding, riding on sidewalks, distracted riding), increasing their crash likelihood.</w:t>
      </w:r>
    </w:p>
    <w:p w14:paraId="3BC51703" w14:textId="2D53EA2E" w:rsidR="006D0499" w:rsidRPr="00A10FEA" w:rsidRDefault="00B42420" w:rsidP="00A10FEA">
      <w:pPr>
        <w:rPr>
          <w:rFonts w:ascii="Calibri" w:hAnsi="Calibri"/>
          <w:sz w:val="22"/>
        </w:rPr>
      </w:pPr>
      <w:r>
        <w:rPr>
          <w:rFonts w:ascii="Calibri" w:hAnsi="Calibri"/>
          <w:b/>
          <w:bCs/>
          <w:sz w:val="22"/>
        </w:rPr>
        <w:t xml:space="preserve">We cannot determine </w:t>
      </w:r>
      <w:r>
        <w:rPr>
          <w:rFonts w:ascii="Calibri" w:hAnsi="Calibri"/>
          <w:sz w:val="22"/>
        </w:rPr>
        <w:t>which is correct due to small samples and low coverage. What we know: general population compliance is high (79.1%), crash victim compliance is lower (59.2%), but the cause of this gap remains unclear.</w:t>
      </w:r>
    </w:p>
    <w:p w14:paraId="5F0F62D7" w14:textId="4F55D3B3" w:rsidR="006B5A7D" w:rsidRPr="00A12799" w:rsidRDefault="006B5A7D" w:rsidP="00A12799">
      <w:pPr>
        <w:pStyle w:val="Heading2"/>
        <w:spacing w:before="480" w:after="240"/>
        <w:rPr>
          <w:b/>
          <w:bCs/>
          <w:color w:val="1F4E79"/>
          <w:sz w:val="28"/>
          <w:szCs w:val="28"/>
        </w:rPr>
      </w:pPr>
      <w:r>
        <w:rPr>
          <w:b/>
          <w:bCs/>
          <w:color w:val="1F4E79"/>
          <w:sz w:val="28"/>
          <w:szCs w:val="28"/>
        </w:rPr>
        <w:lastRenderedPageBreak/>
        <w:t xml:space="preserve">6.3 External Validation: </w:t>
      </w:r>
      <w:proofErr w:type="spellStart"/>
      <w:r>
        <w:rPr>
          <w:b/>
          <w:bCs/>
          <w:color w:val="1F4E79"/>
          <w:sz w:val="28"/>
          <w:szCs w:val="28"/>
        </w:rPr>
        <w:t>Sourasky</w:t>
      </w:r>
      <w:proofErr w:type="spellEnd"/>
      <w:r>
        <w:rPr>
          <w:b/>
          <w:bCs/>
          <w:color w:val="1F4E79"/>
          <w:sz w:val="28"/>
          <w:szCs w:val="28"/>
        </w:rPr>
        <w:t xml:space="preserve"> Medical Center</w:t>
      </w:r>
    </w:p>
    <w:p w14:paraId="6C4FBC47" w14:textId="77777777" w:rsidR="006B5A7D" w:rsidRPr="006B5A7D" w:rsidRDefault="006B5A7D" w:rsidP="006B5A7D">
      <w:pPr>
        <w:rPr>
          <w:rFonts w:ascii="Calibri" w:hAnsi="Calibri"/>
          <w:sz w:val="24"/>
          <w:szCs w:val="24"/>
        </w:rPr>
      </w:pPr>
      <w:r>
        <w:rPr>
          <w:rFonts w:ascii="Calibri" w:hAnsi="Calibri"/>
          <w:sz w:val="24"/>
          <w:szCs w:val="24"/>
        </w:rPr>
        <w:t xml:space="preserve">As an independent check on CBS severe injury data, we compared to </w:t>
      </w:r>
      <w:proofErr w:type="spellStart"/>
      <w:r>
        <w:rPr>
          <w:rFonts w:ascii="Calibri" w:hAnsi="Calibri"/>
          <w:sz w:val="24"/>
          <w:szCs w:val="24"/>
        </w:rPr>
        <w:t>Sourasky</w:t>
      </w:r>
      <w:proofErr w:type="spellEnd"/>
      <w:r>
        <w:rPr>
          <w:rFonts w:ascii="Calibri" w:hAnsi="Calibri"/>
          <w:sz w:val="24"/>
          <w:szCs w:val="24"/>
        </w:rPr>
        <w:t xml:space="preserve"> Medical Center ED records (Bodner et al., 2021): 238 e-scooter patients with maxillofacial injuries in 2019-2020.</w:t>
      </w:r>
    </w:p>
    <w:p w14:paraId="49F6D865" w14:textId="77777777" w:rsidR="006B5A7D" w:rsidRPr="006B5A7D" w:rsidRDefault="006B5A7D" w:rsidP="006B5A7D">
      <w:pPr>
        <w:rPr>
          <w:rFonts w:ascii="Calibri" w:hAnsi="Calibri"/>
          <w:sz w:val="24"/>
          <w:szCs w:val="24"/>
        </w:rPr>
      </w:pPr>
    </w:p>
    <w:p w14:paraId="1182F388" w14:textId="1DB1F57C" w:rsidR="006B5A7D" w:rsidRPr="00801755" w:rsidRDefault="006B5A7D" w:rsidP="00801755">
      <w:pPr>
        <w:jc w:val="center"/>
        <w:rPr>
          <w:rFonts w:ascii="Calibri" w:hAnsi="Calibri"/>
          <w:sz w:val="22"/>
        </w:rPr>
      </w:pPr>
      <w:r>
        <w:rPr>
          <w:rFonts w:ascii="Calibri" w:hAnsi="Calibri"/>
          <w:b/>
          <w:bCs/>
          <w:sz w:val="22"/>
        </w:rPr>
        <w:t xml:space="preserve">CBS vs </w:t>
      </w:r>
      <w:proofErr w:type="spellStart"/>
      <w:r>
        <w:rPr>
          <w:rFonts w:ascii="Calibri" w:hAnsi="Calibri"/>
          <w:b/>
          <w:bCs/>
          <w:sz w:val="22"/>
        </w:rPr>
        <w:t>Sourasky</w:t>
      </w:r>
      <w:proofErr w:type="spellEnd"/>
      <w:r>
        <w:rPr>
          <w:rFonts w:ascii="Calibri" w:hAnsi="Calibri"/>
          <w:b/>
          <w:bCs/>
          <w:sz w:val="22"/>
        </w:rPr>
        <w:t xml:space="preserve"> Helmet Rates </w:t>
      </w:r>
      <w:r>
        <w:rPr>
          <w:rFonts w:ascii="Calibri" w:hAnsi="Calibri"/>
          <w:b/>
          <w:bCs/>
          <w:noProof/>
          <w:sz w:val="22"/>
        </w:rPr>
        <w:drawing>
          <wp:inline distT="0" distB="0" distL="0" distR="0" wp14:anchorId="19D34CCA" wp14:editId="77A53380">
            <wp:extent cx="4311650" cy="3282950"/>
            <wp:effectExtent l="0" t="0" r="0" b="0"/>
            <wp:docPr id="13308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625" name=""/>
                    <pic:cNvPicPr/>
                  </pic:nvPicPr>
                  <pic:blipFill>
                    <a:blip r:embed="rId23"/>
                    <a:stretch>
                      <a:fillRect/>
                    </a:stretch>
                  </pic:blipFill>
                  <pic:spPr>
                    <a:xfrm>
                      <a:off x="0" y="0"/>
                      <a:ext cx="4311650" cy="3282950"/>
                    </a:xfrm>
                    <a:prstGeom prst="rect">
                      <a:avLst/>
                    </a:prstGeom>
                  </pic:spPr>
                </pic:pic>
              </a:graphicData>
            </a:graphic>
          </wp:inline>
        </w:drawing>
      </w:r>
    </w:p>
    <w:p w14:paraId="67C573B5" w14:textId="77777777" w:rsidR="006B5A7D" w:rsidRPr="005A2747" w:rsidRDefault="006B5A7D" w:rsidP="006B5A7D">
      <w:pPr>
        <w:jc w:val="center"/>
        <w:rPr>
          <w:rFonts w:ascii="Calibri" w:hAnsi="Calibri"/>
          <w:i/>
          <w:iCs/>
          <w:sz w:val="22"/>
        </w:rPr>
      </w:pPr>
      <w:r>
        <w:rPr>
          <w:rFonts w:ascii="Calibri" w:hAnsi="Calibri"/>
          <w:i/>
          <w:iCs/>
          <w:sz w:val="22"/>
        </w:rPr>
        <w:t xml:space="preserve">Figure 6.3: CBS vs </w:t>
      </w:r>
      <w:proofErr w:type="spellStart"/>
      <w:r>
        <w:rPr>
          <w:rFonts w:ascii="Calibri" w:hAnsi="Calibri"/>
          <w:i/>
          <w:iCs/>
          <w:sz w:val="22"/>
        </w:rPr>
        <w:t>Sourasky</w:t>
      </w:r>
      <w:proofErr w:type="spellEnd"/>
      <w:r>
        <w:rPr>
          <w:rFonts w:ascii="Calibri" w:hAnsi="Calibri"/>
          <w:i/>
          <w:iCs/>
          <w:sz w:val="22"/>
        </w:rPr>
        <w:t xml:space="preserve"> helmet rates in severe injury cases</w:t>
      </w:r>
    </w:p>
    <w:p w14:paraId="1CF4D5A6" w14:textId="77777777" w:rsidR="006B5A7D" w:rsidRPr="003E5232" w:rsidRDefault="006B5A7D" w:rsidP="006B5A7D">
      <w:pPr>
        <w:rPr>
          <w:rFonts w:ascii="Calibri" w:hAnsi="Calibri"/>
          <w:sz w:val="22"/>
        </w:rPr>
      </w:pPr>
    </w:p>
    <w:p w14:paraId="77B5148C" w14:textId="77777777" w:rsidR="006B5A7D" w:rsidRPr="00B42420" w:rsidRDefault="006B5A7D" w:rsidP="006B5A7D">
      <w:pPr>
        <w:rPr>
          <w:rFonts w:ascii="Calibri" w:hAnsi="Calibri"/>
          <w:b/>
          <w:bCs/>
          <w:sz w:val="22"/>
        </w:rPr>
      </w:pPr>
      <w:r>
        <w:rPr>
          <w:rFonts w:ascii="Calibri" w:hAnsi="Calibri"/>
          <w:b/>
          <w:bCs/>
          <w:sz w:val="22"/>
        </w:rPr>
        <w:t>Key Findings:</w:t>
      </w:r>
    </w:p>
    <w:p w14:paraId="78E2377E" w14:textId="77777777" w:rsidR="006B5A7D" w:rsidRPr="00B42420" w:rsidRDefault="006B5A7D" w:rsidP="006B5A7D">
      <w:pPr>
        <w:rPr>
          <w:rFonts w:ascii="Calibri" w:hAnsi="Calibri"/>
          <w:sz w:val="22"/>
        </w:rPr>
      </w:pPr>
      <w:r>
        <w:rPr>
          <w:rFonts w:ascii="Calibri" w:hAnsi="Calibri"/>
          <w:sz w:val="22"/>
        </w:rPr>
        <w:t xml:space="preserve">1. Near-perfect match for 2019–2020 (+1.5 pts): CBS severe/fatal helmet rate for 2019–2020 was 29.0% (9 of 31 known severe/fatal cases), vs </w:t>
      </w:r>
      <w:proofErr w:type="spellStart"/>
      <w:r>
        <w:rPr>
          <w:rFonts w:ascii="Calibri" w:hAnsi="Calibri"/>
          <w:sz w:val="22"/>
        </w:rPr>
        <w:t>Sourasky</w:t>
      </w:r>
      <w:proofErr w:type="spellEnd"/>
      <w:r>
        <w:rPr>
          <w:rFonts w:ascii="Calibri" w:hAnsi="Calibri"/>
          <w:sz w:val="22"/>
        </w:rPr>
        <w:t xml:space="preserve"> 27.5%. Two independent sources, different recording systems, nearly identical rates. Coverage for severe/fatal cases in 2019–2020 was 74% (31 of 42 cases), confirming CBS severe injury recording is reliable in this period.</w:t>
      </w:r>
    </w:p>
    <w:p w14:paraId="1977C7B3" w14:textId="77777777" w:rsidR="006B5A7D" w:rsidRPr="00B42420" w:rsidRDefault="006B5A7D" w:rsidP="006B5A7D">
      <w:pPr>
        <w:rPr>
          <w:rFonts w:ascii="Calibri" w:hAnsi="Calibri"/>
          <w:sz w:val="22"/>
        </w:rPr>
      </w:pPr>
      <w:r>
        <w:rPr>
          <w:rFonts w:ascii="Calibri" w:hAnsi="Calibri"/>
          <w:sz w:val="22"/>
        </w:rPr>
        <w:t xml:space="preserve">2. CBS severe/fatal helmet rate for the full 2018–2025 period is 38.9% (68 of 175 known severe/fatal cases), vs </w:t>
      </w:r>
      <w:proofErr w:type="spellStart"/>
      <w:r>
        <w:rPr>
          <w:rFonts w:ascii="Calibri" w:hAnsi="Calibri"/>
          <w:sz w:val="22"/>
        </w:rPr>
        <w:t>Sourasky</w:t>
      </w:r>
      <w:proofErr w:type="spellEnd"/>
      <w:r>
        <w:rPr>
          <w:rFonts w:ascii="Calibri" w:hAnsi="Calibri"/>
          <w:sz w:val="22"/>
        </w:rPr>
        <w:t xml:space="preserve"> 27.5% — a +11.4pp gap. This difference is expected: </w:t>
      </w:r>
      <w:proofErr w:type="spellStart"/>
      <w:r>
        <w:rPr>
          <w:rFonts w:ascii="Calibri" w:hAnsi="Calibri"/>
          <w:sz w:val="22"/>
        </w:rPr>
        <w:t>Sourasky</w:t>
      </w:r>
      <w:proofErr w:type="spellEnd"/>
      <w:r>
        <w:rPr>
          <w:rFonts w:ascii="Calibri" w:hAnsi="Calibri"/>
          <w:sz w:val="22"/>
        </w:rPr>
        <w:t xml:space="preserve"> covers only 2019–2020 (pre-law and early-law), whereas the full-period figure includes post-law years 2021–2024 where helmet use among seriously injured riders rose sharply (notably 60.0% in 2022). The correct like-for-like comparison is 2019–2020 only (point 1 above). Note: both datasets use the same scope — severe/fatal injuries only — making this a valid comparison.</w:t>
      </w:r>
    </w:p>
    <w:p w14:paraId="2334D94C" w14:textId="77777777" w:rsidR="006B5A7D" w:rsidRPr="00B42420" w:rsidRDefault="006B5A7D" w:rsidP="006B5A7D">
      <w:pPr>
        <w:rPr>
          <w:rFonts w:ascii="Calibri" w:hAnsi="Calibri"/>
          <w:sz w:val="22"/>
        </w:rPr>
      </w:pPr>
      <w:r>
        <w:rPr>
          <w:rFonts w:ascii="Calibri" w:hAnsi="Calibri"/>
          <w:sz w:val="22"/>
        </w:rPr>
        <w:t xml:space="preserve">3. Maxillofacial injury patterns: Helmets protect skull/brain more than face/jaw. A helmeted rider can still break their jaw or lose teeth. This explains why </w:t>
      </w:r>
      <w:proofErr w:type="spellStart"/>
      <w:r>
        <w:rPr>
          <w:rFonts w:ascii="Calibri" w:hAnsi="Calibri"/>
          <w:sz w:val="22"/>
        </w:rPr>
        <w:t>Sourasky's</w:t>
      </w:r>
      <w:proofErr w:type="spellEnd"/>
      <w:r>
        <w:rPr>
          <w:rFonts w:ascii="Calibri" w:hAnsi="Calibri"/>
          <w:sz w:val="22"/>
        </w:rPr>
        <w:t xml:space="preserve"> facial injury patients have similar helmet rates to CBS all-injury severe cases.</w:t>
      </w:r>
    </w:p>
    <w:p w14:paraId="1A44DE43" w14:textId="31CD5573" w:rsidR="006B5A7D" w:rsidRPr="00A10FEA" w:rsidRDefault="006B5A7D" w:rsidP="00A10FEA">
      <w:pPr>
        <w:rPr>
          <w:rFonts w:ascii="Calibri" w:hAnsi="Calibri"/>
          <w:sz w:val="22"/>
        </w:rPr>
      </w:pPr>
      <w:r>
        <w:rPr>
          <w:rFonts w:ascii="Calibri" w:hAnsi="Calibri"/>
          <w:sz w:val="22"/>
        </w:rPr>
        <w:t xml:space="preserve">Note: </w:t>
      </w:r>
      <w:proofErr w:type="spellStart"/>
      <w:r>
        <w:rPr>
          <w:rFonts w:ascii="Calibri" w:hAnsi="Calibri"/>
          <w:sz w:val="22"/>
        </w:rPr>
        <w:t>Sourasky</w:t>
      </w:r>
      <w:proofErr w:type="spellEnd"/>
      <w:r>
        <w:rPr>
          <w:rFonts w:ascii="Calibri" w:hAnsi="Calibri"/>
          <w:sz w:val="22"/>
        </w:rPr>
        <w:t xml:space="preserve"> data is comparison only, NOT part of our primary 4-source analysis (different injury scope, timeframe, population, source). Its value is external validation of CBS accuracy.</w:t>
      </w:r>
    </w:p>
    <w:p w14:paraId="4C72EF94" w14:textId="77777777" w:rsidR="00A10FEA" w:rsidRPr="00A12799" w:rsidRDefault="00A10FEA" w:rsidP="00A10FEA">
      <w:pPr>
        <w:pStyle w:val="Heading2"/>
        <w:spacing w:before="480" w:after="240"/>
        <w:rPr>
          <w:b/>
          <w:bCs/>
          <w:color w:val="1F4E79"/>
          <w:sz w:val="28"/>
          <w:szCs w:val="28"/>
        </w:rPr>
      </w:pPr>
      <w:r>
        <w:rPr>
          <w:b/>
          <w:bCs/>
          <w:color w:val="1F4E79"/>
          <w:sz w:val="28"/>
          <w:szCs w:val="28"/>
        </w:rPr>
        <w:t>6.4 Helmet Protective Effect: Evidence and Scope</w:t>
      </w:r>
    </w:p>
    <w:p w14:paraId="705DD069" w14:textId="77777777" w:rsidR="00A10FEA" w:rsidRPr="006D0499" w:rsidRDefault="00A10FEA" w:rsidP="00A10FEA">
      <w:pPr>
        <w:rPr>
          <w:rFonts w:ascii="Calibri" w:hAnsi="Calibri"/>
          <w:sz w:val="24"/>
          <w:szCs w:val="24"/>
        </w:rPr>
      </w:pPr>
      <w:r>
        <w:rPr>
          <w:rFonts w:ascii="Calibri" w:hAnsi="Calibri"/>
          <w:sz w:val="24"/>
          <w:szCs w:val="24"/>
        </w:rPr>
        <w:lastRenderedPageBreak/>
        <w:t>Only CBS crash data links helmet use to injury outcome for the same individual. Enforcement, observations, and surveys measure compliance only — not severity. The protective effect below therefore rests on CBS evidence alone.</w:t>
      </w:r>
    </w:p>
    <w:p w14:paraId="5A114F91" w14:textId="77777777" w:rsidR="00A10FEA" w:rsidRPr="006D0499" w:rsidRDefault="00A10FEA" w:rsidP="00A10FEA">
      <w:pPr>
        <w:rPr>
          <w:rFonts w:ascii="Calibri" w:hAnsi="Calibri"/>
          <w:sz w:val="24"/>
          <w:szCs w:val="24"/>
        </w:rPr>
      </w:pPr>
      <w:r>
        <w:rPr>
          <w:rFonts w:ascii="Calibri" w:hAnsi="Calibri"/>
          <w:b/>
          <w:bCs/>
          <w:sz w:val="24"/>
          <w:szCs w:val="24"/>
        </w:rPr>
        <w:t>Primary evidence</w:t>
      </w:r>
      <w:r>
        <w:rPr>
          <w:rFonts w:ascii="Calibri" w:hAnsi="Calibri"/>
          <w:sz w:val="24"/>
          <w:szCs w:val="24"/>
        </w:rPr>
        <w:t xml:space="preserve"> </w:t>
      </w:r>
      <w:r>
        <w:rPr>
          <w:rFonts w:ascii="Calibri" w:hAnsi="Calibri"/>
          <w:b/>
          <w:bCs/>
          <w:sz w:val="24"/>
          <w:szCs w:val="24"/>
        </w:rPr>
        <w:t>from CBS</w:t>
      </w:r>
      <w:r>
        <w:rPr>
          <w:rFonts w:ascii="Calibri" w:hAnsi="Calibri"/>
          <w:sz w:val="24"/>
          <w:szCs w:val="24"/>
        </w:rPr>
        <w:t xml:space="preserve"> crash data (n=638 known gender and helmet status):</w:t>
      </w:r>
    </w:p>
    <w:p w14:paraId="65265E97" w14:textId="77777777" w:rsidR="00A10FEA" w:rsidRPr="006D0499" w:rsidRDefault="00A10FEA" w:rsidP="00A10FEA">
      <w:pPr>
        <w:numPr>
          <w:ilvl w:val="0"/>
          <w:numId w:val="86"/>
        </w:numPr>
        <w:rPr>
          <w:rFonts w:ascii="Calibri" w:hAnsi="Calibri"/>
          <w:sz w:val="24"/>
          <w:szCs w:val="24"/>
        </w:rPr>
      </w:pPr>
      <w:r>
        <w:rPr>
          <w:rFonts w:ascii="Calibri" w:hAnsi="Calibri"/>
          <w:sz w:val="24"/>
          <w:szCs w:val="24"/>
        </w:rPr>
        <w:t>Non-helmeted riders face 2.28× higher risk of severe/fatal injury (39.5% vs 17.3%; z=6.38, p&lt;0.001; n=664)</w:t>
      </w:r>
    </w:p>
    <w:p w14:paraId="0C07BCCC" w14:textId="77777777" w:rsidR="00A10FEA" w:rsidRPr="006D0499" w:rsidRDefault="00A10FEA" w:rsidP="00A10FEA">
      <w:pPr>
        <w:numPr>
          <w:ilvl w:val="0"/>
          <w:numId w:val="86"/>
        </w:numPr>
        <w:rPr>
          <w:rFonts w:ascii="Calibri" w:hAnsi="Calibri"/>
          <w:sz w:val="24"/>
          <w:szCs w:val="24"/>
        </w:rPr>
      </w:pPr>
      <w:r>
        <w:rPr>
          <w:rFonts w:ascii="Calibri" w:hAnsi="Calibri"/>
          <w:sz w:val="24"/>
          <w:szCs w:val="24"/>
        </w:rPr>
        <w:t>Protection strongest for ages 15-44 (RR 3.0-3.3×), modest for older riders (RR 1.9×)</w:t>
      </w:r>
    </w:p>
    <w:p w14:paraId="1FE28DD7" w14:textId="77777777" w:rsidR="00A10FEA" w:rsidRPr="006D0499" w:rsidRDefault="00A10FEA" w:rsidP="00A10FEA">
      <w:pPr>
        <w:numPr>
          <w:ilvl w:val="0"/>
          <w:numId w:val="86"/>
        </w:numPr>
        <w:rPr>
          <w:rFonts w:ascii="Calibri" w:hAnsi="Calibri"/>
          <w:sz w:val="24"/>
          <w:szCs w:val="24"/>
        </w:rPr>
      </w:pPr>
      <w:r>
        <w:rPr>
          <w:rFonts w:ascii="Calibri" w:hAnsi="Calibri"/>
          <w:sz w:val="24"/>
          <w:szCs w:val="24"/>
        </w:rPr>
        <w:t>Protective effect confirmed for both genders: male RR=2.40× (p&lt;0.001, n=446), female RR=1.78× (p=0.032, n=192). Male effect is larger; both are statistically significant (see Section 2.4)</w:t>
      </w:r>
    </w:p>
    <w:p w14:paraId="51683FA1" w14:textId="77777777" w:rsidR="00A10FEA" w:rsidRPr="006D0499" w:rsidRDefault="00A10FEA" w:rsidP="00A10FEA">
      <w:pPr>
        <w:rPr>
          <w:rFonts w:ascii="Calibri" w:hAnsi="Calibri"/>
          <w:sz w:val="24"/>
          <w:szCs w:val="24"/>
        </w:rPr>
      </w:pPr>
      <w:r>
        <w:rPr>
          <w:rFonts w:ascii="Calibri" w:hAnsi="Calibri"/>
          <w:b/>
          <w:bCs/>
          <w:sz w:val="24"/>
          <w:szCs w:val="24"/>
        </w:rPr>
        <w:t>Passenger risk anomaly</w:t>
      </w:r>
      <w:r>
        <w:rPr>
          <w:rFonts w:ascii="Calibri" w:hAnsi="Calibri"/>
          <w:sz w:val="24"/>
          <w:szCs w:val="24"/>
        </w:rPr>
        <w:t>: E-scooter passengers show 3× higher severity than drivers (23.5% vs 7.8%), regardless of helmet status. Current data cannot determine whether helmets protect passengers (n=68 too small). This elevated baseline risk — independent of helmet use — warrants urgent safety research and potential regulatory intervention.</w:t>
      </w:r>
    </w:p>
    <w:p w14:paraId="275DEB1E" w14:textId="77777777" w:rsidR="00A10FEA" w:rsidRPr="006D0499" w:rsidRDefault="00A10FEA" w:rsidP="00A10FEA">
      <w:pPr>
        <w:rPr>
          <w:rFonts w:ascii="Calibri" w:hAnsi="Calibri"/>
          <w:sz w:val="24"/>
          <w:szCs w:val="24"/>
        </w:rPr>
      </w:pPr>
      <w:r>
        <w:rPr>
          <w:rFonts w:ascii="Calibri" w:hAnsi="Calibri"/>
          <w:b/>
          <w:bCs/>
          <w:sz w:val="24"/>
          <w:szCs w:val="24"/>
        </w:rPr>
        <w:t xml:space="preserve">What other sources contribute: </w:t>
      </w:r>
      <w:r>
        <w:rPr>
          <w:rFonts w:ascii="Calibri" w:hAnsi="Calibri"/>
          <w:sz w:val="24"/>
          <w:szCs w:val="24"/>
        </w:rPr>
        <w:t xml:space="preserve">Surveys confirm compliance improved across the general riding population (22% → 52% ‘always’, 2019–2022) and report 5–6% severe injuries among subscribers, but do not cross-tabulate severity by helmet use. Field observations show general-population compliance (79.1%) exceeds the CBS crash-victim rate (46.8% in 2025), consistent with selective crash risk among non-compliant riders — but this gap cannot be attributed to severity reduction without controlled data. </w:t>
      </w:r>
      <w:proofErr w:type="spellStart"/>
      <w:r>
        <w:rPr>
          <w:rFonts w:ascii="Calibri" w:hAnsi="Calibri"/>
          <w:sz w:val="24"/>
          <w:szCs w:val="24"/>
        </w:rPr>
        <w:t>Sourasky</w:t>
      </w:r>
      <w:proofErr w:type="spellEnd"/>
      <w:r>
        <w:rPr>
          <w:rFonts w:ascii="Calibri" w:hAnsi="Calibri"/>
          <w:sz w:val="24"/>
          <w:szCs w:val="24"/>
        </w:rPr>
        <w:t xml:space="preserve"> Hospital records validate CBS severe/fatal recording accuracy for the pre-law period: CBS severe/fatal helmet rate for 2019–2020 was 29.0% vs </w:t>
      </w:r>
      <w:proofErr w:type="spellStart"/>
      <w:r>
        <w:rPr>
          <w:rFonts w:ascii="Calibri" w:hAnsi="Calibri"/>
          <w:sz w:val="24"/>
          <w:szCs w:val="24"/>
        </w:rPr>
        <w:t>Sourasky</w:t>
      </w:r>
      <w:proofErr w:type="spellEnd"/>
      <w:r>
        <w:rPr>
          <w:rFonts w:ascii="Calibri" w:hAnsi="Calibri"/>
          <w:sz w:val="24"/>
          <w:szCs w:val="24"/>
        </w:rPr>
        <w:t xml:space="preserve"> 27.5% (+1.5 pts), confirming CBS captures helmet status reliably in serious crashes.</w:t>
      </w:r>
    </w:p>
    <w:p w14:paraId="0DADE14A" w14:textId="54B15316" w:rsidR="004C1395" w:rsidRPr="006D0499" w:rsidRDefault="00A10FEA" w:rsidP="00A10FEA">
      <w:pPr>
        <w:rPr>
          <w:rFonts w:ascii="Calibri" w:hAnsi="Calibri"/>
          <w:sz w:val="24"/>
          <w:szCs w:val="24"/>
        </w:rPr>
      </w:pPr>
      <w:r>
        <w:rPr>
          <w:rFonts w:ascii="Calibri" w:hAnsi="Calibri"/>
          <w:b/>
          <w:bCs/>
          <w:sz w:val="24"/>
          <w:szCs w:val="24"/>
        </w:rPr>
        <w:t xml:space="preserve">Limitation: </w:t>
      </w:r>
      <w:r>
        <w:rPr>
          <w:rFonts w:ascii="Calibri" w:hAnsi="Calibri"/>
          <w:sz w:val="24"/>
          <w:szCs w:val="24"/>
        </w:rPr>
        <w:t>The overall RR (2.28×) relies on n=664 known-helmet-status riders (25% of all 2,659 ES users). The gender-stratified RR values rely on n=638 (known gender and known helmet). Because police document helmet status more often in serious crashes, the known-status subset over-represents severe injuries — the direction of resulting bias on RR is uncertain. Passenger severity (3× higher than drivers, n=68) cannot be assessed for helmet protection due to sample size.</w:t>
      </w:r>
    </w:p>
    <w:p w14:paraId="7BC51D2F" w14:textId="4294CE67" w:rsidR="00F112C9" w:rsidRPr="00A12799" w:rsidRDefault="00163D81" w:rsidP="00A12799">
      <w:pPr>
        <w:pStyle w:val="Heading2"/>
        <w:spacing w:before="480" w:after="240"/>
        <w:rPr>
          <w:b/>
          <w:bCs/>
          <w:color w:val="1F4E79"/>
          <w:sz w:val="28"/>
          <w:szCs w:val="28"/>
        </w:rPr>
      </w:pPr>
      <w:r>
        <w:rPr>
          <w:b/>
          <w:bCs/>
          <w:color w:val="1F4E79"/>
          <w:sz w:val="28"/>
          <w:szCs w:val="28"/>
        </w:rPr>
        <w:t>6.5. Gender Distribution over Years: Critical Contradictions</w:t>
      </w:r>
    </w:p>
    <w:p w14:paraId="661EE0EC" w14:textId="38A139E5" w:rsidR="00F112C9" w:rsidRDefault="00F112C9" w:rsidP="00F112C9">
      <w:pPr>
        <w:jc w:val="center"/>
        <w:rPr>
          <w:rFonts w:ascii="Calibri" w:hAnsi="Calibri"/>
          <w:b/>
          <w:bCs/>
          <w:color w:val="1F4E79"/>
          <w:sz w:val="24"/>
          <w:szCs w:val="24"/>
        </w:rPr>
      </w:pPr>
      <w:r>
        <w:rPr>
          <w:rFonts w:ascii="Calibri" w:hAnsi="Calibri"/>
          <w:b/>
          <w:bCs/>
          <w:noProof/>
          <w:color w:val="1F4E79"/>
          <w:sz w:val="24"/>
          <w:szCs w:val="24"/>
        </w:rPr>
        <w:lastRenderedPageBreak/>
        <w:drawing>
          <wp:inline distT="0" distB="0" distL="0" distR="0" wp14:anchorId="3E2B0A5F" wp14:editId="3D1C2522">
            <wp:extent cx="2550795" cy="2329732"/>
            <wp:effectExtent l="0" t="0" r="1905" b="0"/>
            <wp:docPr id="134539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7310" name=""/>
                    <pic:cNvPicPr/>
                  </pic:nvPicPr>
                  <pic:blipFill>
                    <a:blip r:embed="rId24"/>
                    <a:stretch>
                      <a:fillRect/>
                    </a:stretch>
                  </pic:blipFill>
                  <pic:spPr>
                    <a:xfrm>
                      <a:off x="0" y="0"/>
                      <a:ext cx="2590525" cy="2366019"/>
                    </a:xfrm>
                    <a:prstGeom prst="rect">
                      <a:avLst/>
                    </a:prstGeom>
                  </pic:spPr>
                </pic:pic>
              </a:graphicData>
            </a:graphic>
          </wp:inline>
        </w:drawing>
      </w:r>
    </w:p>
    <w:p w14:paraId="0ABD5019" w14:textId="1F06BFEA" w:rsidR="00A12799" w:rsidRPr="00F112C9" w:rsidRDefault="00F112C9" w:rsidP="00A12799">
      <w:pPr>
        <w:rPr>
          <w:rFonts w:ascii="Calibri" w:hAnsi="Calibri"/>
          <w:i/>
          <w:iCs/>
          <w:sz w:val="24"/>
          <w:szCs w:val="24"/>
        </w:rPr>
      </w:pPr>
      <w:r>
        <w:rPr>
          <w:rFonts w:ascii="Calibri" w:hAnsi="Calibri"/>
          <w:i/>
          <w:iCs/>
          <w:sz w:val="24"/>
          <w:szCs w:val="24"/>
        </w:rPr>
        <w:t>Figure 6.5: Male percentage of e-scooter users across data sources, 2019–2024</w:t>
      </w:r>
    </w:p>
    <w:p w14:paraId="1D330001" w14:textId="1D330001" w:rsidR="00D41392" w:rsidRPr="00A10FEA" w:rsidRDefault="00D41392" w:rsidP="00D41392">
      <w:pPr>
        <w:spacing w:after="120"/>
        <w:rPr>
          <w:rFonts w:ascii="Calibri" w:hAnsi="Calibri"/>
          <w:sz w:val="24"/>
          <w:szCs w:val="24"/>
        </w:rPr>
      </w:pPr>
      <w:r>
        <w:rPr>
          <w:rFonts w:ascii="Calibri" w:hAnsi="Calibri"/>
          <w:sz w:val="24"/>
          <w:szCs w:val="24"/>
        </w:rPr>
        <w:t>Figure 6.5 plots the male share of e-scooter users across three independent sources from 2019 to 2024. The sources tell different stories. CBS crash data shows the male share of involved riders steadily increasing, from 1.39:1 in 2018 to 3.19:1 by 2025 — a rising male dominance in crash records. Survey data shows the opposite: the subscriber pool held stable at 82% male (2021) and 80% male (2022), with no directional trend. Enforcement data shows a declining male fine share, from 80% in 2019 to 65% in 2023.</w:t>
      </w:r>
    </w:p>
    <w:p w14:paraId="1D330002" w14:textId="1D330002" w:rsidR="00D41392" w:rsidRPr="00A10FEA" w:rsidRDefault="00D41392" w:rsidP="00D41392">
      <w:pPr>
        <w:spacing w:after="120"/>
        <w:rPr>
          <w:rFonts w:ascii="Calibri" w:hAnsi="Calibri"/>
          <w:sz w:val="24"/>
          <w:szCs w:val="24"/>
        </w:rPr>
      </w:pPr>
      <w:r>
        <w:rPr>
          <w:rFonts w:ascii="Calibri" w:hAnsi="Calibri"/>
          <w:sz w:val="24"/>
          <w:szCs w:val="24"/>
        </w:rPr>
        <w:t>A specific cross-source finding emerges when comparing the gender composition of CBS crash records to the general riding population (Section 2.4): across all CBS ES users with known gender (n=2,238, 2018–2025), females account for 29.2% of crash records — versus only 18–20% of shared-scooter survey respondents. This gap is highly significant (χ²=119.0 vs survey 2022, χ²=191.0 vs survey 2021; both p&lt;0.001). Using survey 2022 as a ridership proxy, the implied female-to-male crash rate is approximately 1.65× higher per rider. Notably, enforcement fines in 2022 were approximately 70% male — not significantly different from the CBS crash gender split of 70.8% male (χ²=0.6, p=0.42), suggesting enforcement in that year targeted riders roughly in proportion to their crash share. This alignment breaks down in earlier and later years as the male fine share shifted, further confirming that enforcement ratios reflect policing strategy rather than stable rider demographics.</w:t>
      </w:r>
    </w:p>
    <w:p w14:paraId="1D330003" w14:textId="1D330003" w:rsidR="00D41392" w:rsidRDefault="00D41392">
      <w:pPr>
        <w:spacing w:after="120"/>
        <w:rPr>
          <w:rFonts w:ascii="Calibri" w:hAnsi="Calibri"/>
          <w:sz w:val="24"/>
          <w:szCs w:val="24"/>
        </w:rPr>
      </w:pPr>
      <w:r>
        <w:rPr>
          <w:rFonts w:ascii="Calibri" w:hAnsi="Calibri"/>
          <w:sz w:val="24"/>
          <w:szCs w:val="24"/>
        </w:rPr>
        <w:t>These three trend contradictions (CBS rising male share, survey stable, enforcement declining) cannot be simultaneously true if the riding population were shifting. The most consistent reading: gender composition has been roughly stable throughout the study period (surveys are the most reliable signal), CBS trends reflect changes in crash patterns or recording practices rather than demographics, and the declining male enforcement share reflects policing redeployment. Year-by-year CBS gender sub-samples are too small for reliable compliance analysis (N=10–91 per group, no year reaches significance), so no compliance trend by gender can be drawn from crash data alone.</w:t>
      </w:r>
    </w:p>
    <w:p w14:paraId="1C330001" w14:textId="1C330001" w:rsidR="00D41392" w:rsidRPr="00057DEF" w:rsidRDefault="00D41392" w:rsidP="00D41392">
      <w:pPr>
        <w:spacing w:before="240" w:after="120"/>
        <w:rPr>
          <w:rFonts w:ascii="Calibri" w:hAnsi="Calibri"/>
          <w:sz w:val="24"/>
          <w:szCs w:val="24"/>
        </w:rPr>
      </w:pPr>
    </w:p>
    <w:p w14:paraId="287D6C8F" w14:textId="5FFD24A1" w:rsidR="00B42420" w:rsidRPr="00A12799" w:rsidRDefault="00B42420" w:rsidP="00A12799">
      <w:pPr>
        <w:pStyle w:val="Heading2"/>
        <w:spacing w:before="480" w:after="240"/>
        <w:rPr>
          <w:b/>
          <w:bCs/>
          <w:color w:val="1F4E79"/>
          <w:sz w:val="28"/>
          <w:szCs w:val="28"/>
        </w:rPr>
      </w:pPr>
      <w:r>
        <w:rPr>
          <w:b/>
          <w:bCs/>
          <w:color w:val="1F4E79"/>
          <w:sz w:val="28"/>
          <w:szCs w:val="28"/>
        </w:rPr>
        <w:t>6.6 Law Effectiveness: Final Assessment</w:t>
      </w:r>
    </w:p>
    <w:p w14:paraId="6EBA6451" w14:textId="77777777" w:rsidR="00B42420" w:rsidRPr="00B42420" w:rsidRDefault="00B42420" w:rsidP="00B42420">
      <w:pPr>
        <w:rPr>
          <w:rFonts w:ascii="Calibri" w:hAnsi="Calibri"/>
          <w:sz w:val="22"/>
        </w:rPr>
      </w:pPr>
      <w:r>
        <w:rPr>
          <w:rFonts w:ascii="Calibri" w:hAnsi="Calibri"/>
          <w:b/>
          <w:bCs/>
          <w:sz w:val="22"/>
        </w:rPr>
        <w:lastRenderedPageBreak/>
        <w:t>The January 1, 2019 mandatory helmet law worked.</w:t>
      </w:r>
    </w:p>
    <w:p w14:paraId="7FA7645E" w14:textId="77777777" w:rsidR="00B42420" w:rsidRPr="00B42420" w:rsidRDefault="00B42420" w:rsidP="00B42420">
      <w:pPr>
        <w:rPr>
          <w:rFonts w:ascii="Calibri" w:hAnsi="Calibri"/>
          <w:sz w:val="22"/>
        </w:rPr>
      </w:pPr>
      <w:r>
        <w:rPr>
          <w:rFonts w:ascii="Calibri" w:hAnsi="Calibri"/>
          <w:b/>
          <w:bCs/>
          <w:sz w:val="22"/>
        </w:rPr>
        <w:t>Evidence:</w:t>
      </w:r>
    </w:p>
    <w:p w14:paraId="53C26E8C" w14:textId="77777777" w:rsidR="00B42420" w:rsidRPr="00B42420" w:rsidRDefault="00B42420" w:rsidP="00B42420">
      <w:pPr>
        <w:numPr>
          <w:ilvl w:val="0"/>
          <w:numId w:val="75"/>
        </w:numPr>
        <w:rPr>
          <w:rFonts w:ascii="Calibri" w:hAnsi="Calibri"/>
          <w:sz w:val="22"/>
        </w:rPr>
      </w:pPr>
      <w:r>
        <w:rPr>
          <w:rFonts w:ascii="Calibri" w:hAnsi="Calibri"/>
          <w:b/>
          <w:bCs/>
          <w:sz w:val="22"/>
        </w:rPr>
        <w:t>Pre-law baseline (2018):</w:t>
      </w:r>
      <w:r>
        <w:rPr>
          <w:rFonts w:ascii="Calibri" w:hAnsi="Calibri"/>
          <w:sz w:val="22"/>
        </w:rPr>
        <w:t xml:space="preserve"> 25.0% of crash victims wore helmets</w:t>
      </w:r>
    </w:p>
    <w:p w14:paraId="6517C933" w14:textId="77777777" w:rsidR="00B42420" w:rsidRPr="00B42420" w:rsidRDefault="00B42420" w:rsidP="00B42420">
      <w:pPr>
        <w:numPr>
          <w:ilvl w:val="0"/>
          <w:numId w:val="75"/>
        </w:numPr>
        <w:rPr>
          <w:rFonts w:ascii="Calibri" w:hAnsi="Calibri"/>
          <w:sz w:val="22"/>
        </w:rPr>
      </w:pPr>
      <w:r>
        <w:rPr>
          <w:rFonts w:ascii="Calibri" w:hAnsi="Calibri"/>
          <w:b/>
          <w:bCs/>
          <w:sz w:val="22"/>
        </w:rPr>
        <w:t>Post-law average (2019-2024):</w:t>
      </w:r>
      <w:r>
        <w:rPr>
          <w:rFonts w:ascii="Calibri" w:hAnsi="Calibri"/>
          <w:sz w:val="22"/>
        </w:rPr>
        <w:t xml:space="preserve"> 60.0% of crash victims wore helmets</w:t>
      </w:r>
    </w:p>
    <w:p w14:paraId="5C8E8949" w14:textId="77777777" w:rsidR="00B42420" w:rsidRPr="00B42420" w:rsidRDefault="00B42420" w:rsidP="00B42420">
      <w:pPr>
        <w:numPr>
          <w:ilvl w:val="0"/>
          <w:numId w:val="75"/>
        </w:numPr>
        <w:rPr>
          <w:rFonts w:ascii="Calibri" w:hAnsi="Calibri"/>
          <w:sz w:val="22"/>
        </w:rPr>
      </w:pPr>
      <w:r>
        <w:rPr>
          <w:rFonts w:ascii="Calibri" w:hAnsi="Calibri"/>
          <w:b/>
          <w:bCs/>
          <w:sz w:val="22"/>
        </w:rPr>
        <w:t>Improvement:</w:t>
      </w:r>
      <w:r>
        <w:rPr>
          <w:rFonts w:ascii="Calibri" w:hAnsi="Calibri"/>
          <w:sz w:val="22"/>
        </w:rPr>
        <w:t xml:space="preserve"> +35.0 percentage points (140% increase)</w:t>
      </w:r>
    </w:p>
    <w:p w14:paraId="6335949A" w14:textId="77777777" w:rsidR="00B42420" w:rsidRPr="00B42420" w:rsidRDefault="00B42420" w:rsidP="00B42420">
      <w:pPr>
        <w:numPr>
          <w:ilvl w:val="0"/>
          <w:numId w:val="75"/>
        </w:numPr>
        <w:rPr>
          <w:rFonts w:ascii="Calibri" w:hAnsi="Calibri"/>
          <w:sz w:val="22"/>
        </w:rPr>
      </w:pPr>
      <w:r>
        <w:rPr>
          <w:rFonts w:ascii="Calibri" w:hAnsi="Calibri"/>
          <w:b/>
          <w:bCs/>
          <w:sz w:val="22"/>
        </w:rPr>
        <w:t>Three sources converge:</w:t>
      </w:r>
      <w:r>
        <w:rPr>
          <w:rFonts w:ascii="Calibri" w:hAnsi="Calibri"/>
          <w:sz w:val="22"/>
        </w:rPr>
        <w:t xml:space="preserve"> CBS, surveys, and enforcement all document upward trends from the 2019 baseline; observations confirm high compliance in 2024–2025</w:t>
      </w:r>
    </w:p>
    <w:p w14:paraId="1992C50B" w14:textId="056687ED" w:rsidR="00B42420" w:rsidRPr="00B42420" w:rsidRDefault="00B42420" w:rsidP="001D3717">
      <w:pPr>
        <w:numPr>
          <w:ilvl w:val="0"/>
          <w:numId w:val="75"/>
        </w:numPr>
        <w:rPr>
          <w:rFonts w:ascii="Calibri" w:hAnsi="Calibri"/>
          <w:sz w:val="22"/>
        </w:rPr>
      </w:pPr>
      <w:r>
        <w:rPr>
          <w:rFonts w:ascii="Calibri" w:hAnsi="Calibri"/>
          <w:b/>
          <w:bCs/>
          <w:sz w:val="22"/>
        </w:rPr>
        <w:t>Protective effect confirmed:</w:t>
      </w:r>
      <w:r>
        <w:rPr>
          <w:rFonts w:ascii="Calibri" w:hAnsi="Calibri"/>
          <w:sz w:val="22"/>
        </w:rPr>
        <w:t xml:space="preserve"> Helmets reduce severe injuries by more than twofold (RR 2.28× overall; male RR 2.40×, female RR 1.78×)</w:t>
      </w:r>
    </w:p>
    <w:p w14:paraId="2E9DFC75" w14:textId="19F71BF6" w:rsidR="00B42420" w:rsidRPr="00B42420" w:rsidRDefault="00B42420" w:rsidP="007B11B9">
      <w:pPr>
        <w:rPr>
          <w:rFonts w:ascii="Calibri" w:hAnsi="Calibri"/>
          <w:sz w:val="22"/>
        </w:rPr>
      </w:pPr>
      <w:r>
        <w:rPr>
          <w:rFonts w:ascii="Calibri" w:hAnsi="Calibri"/>
          <w:b/>
          <w:bCs/>
          <w:sz w:val="22"/>
        </w:rPr>
        <w:t>Critical finding:</w:t>
      </w:r>
      <w:r>
        <w:rPr>
          <w:rFonts w:ascii="Calibri" w:hAnsi="Calibri"/>
          <w:sz w:val="22"/>
        </w:rPr>
        <w:t xml:space="preserve"> Compliance remained high even after enforcement never recovered to its pre-2021 levels — total fines dropped 87% in 2021 (partly COVID redeployment, partly genuine compliance) and </w:t>
      </w:r>
      <w:proofErr w:type="spellStart"/>
      <w:r>
        <w:rPr>
          <w:rFonts w:ascii="Calibri" w:hAnsi="Calibri"/>
          <w:sz w:val="22"/>
        </w:rPr>
        <w:t>stabilised</w:t>
      </w:r>
      <w:proofErr w:type="spellEnd"/>
      <w:r>
        <w:rPr>
          <w:rFonts w:ascii="Calibri" w:hAnsi="Calibri"/>
          <w:sz w:val="22"/>
        </w:rPr>
        <w:t xml:space="preserve"> at a new lower baseline. This indicates that </w:t>
      </w:r>
      <w:r>
        <w:rPr>
          <w:rFonts w:ascii="Calibri" w:hAnsi="Calibri"/>
          <w:b/>
          <w:bCs/>
          <w:sz w:val="22"/>
        </w:rPr>
        <w:t>the law's existence matters more than intensive enforcement</w:t>
      </w:r>
      <w:r>
        <w:rPr>
          <w:rFonts w:ascii="Calibri" w:hAnsi="Calibri"/>
          <w:sz w:val="22"/>
        </w:rPr>
        <w:t>. The legal norm changed behavior beyond deterrence.</w:t>
      </w:r>
    </w:p>
    <w:p w14:paraId="7DEAD696" w14:textId="77777777" w:rsidR="00B42420" w:rsidRPr="00B42420" w:rsidRDefault="00B42420" w:rsidP="00B42420">
      <w:pPr>
        <w:rPr>
          <w:rFonts w:ascii="Calibri" w:hAnsi="Calibri"/>
          <w:sz w:val="22"/>
        </w:rPr>
      </w:pPr>
      <w:r>
        <w:rPr>
          <w:rFonts w:ascii="Calibri" w:hAnsi="Calibri"/>
          <w:b/>
          <w:bCs/>
          <w:sz w:val="22"/>
        </w:rPr>
        <w:t>The 2024-2025 Data Crisis:</w:t>
      </w:r>
    </w:p>
    <w:p w14:paraId="353740A3" w14:textId="77777777" w:rsidR="00B42420" w:rsidRPr="00B42420" w:rsidRDefault="00B42420" w:rsidP="00B42420">
      <w:pPr>
        <w:rPr>
          <w:rFonts w:ascii="Calibri" w:hAnsi="Calibri"/>
          <w:sz w:val="22"/>
        </w:rPr>
      </w:pPr>
      <w:r>
        <w:rPr>
          <w:rFonts w:ascii="Calibri" w:hAnsi="Calibri"/>
          <w:sz w:val="22"/>
        </w:rPr>
        <w:t>However, recent trends cannot be assessed:</w:t>
      </w:r>
    </w:p>
    <w:p w14:paraId="23B788B4" w14:textId="77777777" w:rsidR="00B42420" w:rsidRPr="00B42420" w:rsidRDefault="00B42420" w:rsidP="00B42420">
      <w:pPr>
        <w:numPr>
          <w:ilvl w:val="0"/>
          <w:numId w:val="76"/>
        </w:numPr>
        <w:rPr>
          <w:rFonts w:ascii="Calibri" w:hAnsi="Calibri"/>
          <w:sz w:val="22"/>
        </w:rPr>
      </w:pPr>
      <w:r>
        <w:rPr>
          <w:rFonts w:ascii="Calibri" w:hAnsi="Calibri"/>
          <w:b/>
          <w:bCs/>
          <w:sz w:val="22"/>
        </w:rPr>
        <w:t>2024:</w:t>
      </w:r>
      <w:r>
        <w:rPr>
          <w:rFonts w:ascii="Calibri" w:hAnsi="Calibri"/>
          <w:sz w:val="22"/>
        </w:rPr>
        <w:t xml:space="preserve"> CBS coverage 13.9%, observations n=182 (both too small)</w:t>
      </w:r>
    </w:p>
    <w:p w14:paraId="530432E9" w14:textId="77777777" w:rsidR="00B42420" w:rsidRPr="00B42420" w:rsidRDefault="00B42420" w:rsidP="00B42420">
      <w:pPr>
        <w:numPr>
          <w:ilvl w:val="0"/>
          <w:numId w:val="76"/>
        </w:numPr>
        <w:rPr>
          <w:rFonts w:ascii="Calibri" w:hAnsi="Calibri"/>
          <w:sz w:val="22"/>
        </w:rPr>
      </w:pPr>
      <w:r>
        <w:rPr>
          <w:rFonts w:ascii="Calibri" w:hAnsi="Calibri"/>
          <w:b/>
          <w:bCs/>
          <w:sz w:val="22"/>
        </w:rPr>
        <w:t>2025:</w:t>
      </w:r>
      <w:r>
        <w:rPr>
          <w:rFonts w:ascii="Calibri" w:hAnsi="Calibri"/>
          <w:sz w:val="22"/>
        </w:rPr>
        <w:t xml:space="preserve"> CBS coverage 14.7%, helmet rate 46.8% (declining or artifact?)</w:t>
      </w:r>
    </w:p>
    <w:p w14:paraId="63220675" w14:textId="77777777" w:rsidR="00B42420" w:rsidRPr="00B42420" w:rsidRDefault="00B42420" w:rsidP="00B42420">
      <w:pPr>
        <w:rPr>
          <w:rFonts w:ascii="Calibri" w:hAnsi="Calibri"/>
          <w:sz w:val="22"/>
        </w:rPr>
      </w:pPr>
      <w:r>
        <w:rPr>
          <w:rFonts w:ascii="Calibri" w:hAnsi="Calibri"/>
          <w:sz w:val="22"/>
        </w:rPr>
        <w:t xml:space="preserve">The 2025 decline could indicate: (a) real behavioral change (law effect fading), (b) data quality artifact (police recording less), or (c) population shift (different rider types crashing). </w:t>
      </w:r>
      <w:r>
        <w:rPr>
          <w:rFonts w:ascii="Calibri" w:hAnsi="Calibri"/>
          <w:b/>
          <w:bCs/>
          <w:sz w:val="22"/>
        </w:rPr>
        <w:t>We cannot determine which</w:t>
      </w:r>
      <w:r>
        <w:rPr>
          <w:rFonts w:ascii="Calibri" w:hAnsi="Calibri"/>
          <w:sz w:val="22"/>
        </w:rPr>
        <w:t xml:space="preserve"> without better coverage.</w:t>
      </w:r>
    </w:p>
    <w:p w14:paraId="2B5EB356" w14:textId="77777777" w:rsidR="00B42420" w:rsidRPr="00B42420" w:rsidRDefault="00B42420" w:rsidP="00B42420">
      <w:pPr>
        <w:rPr>
          <w:rFonts w:ascii="Calibri" w:hAnsi="Calibri"/>
          <w:sz w:val="22"/>
        </w:rPr>
      </w:pPr>
      <w:r>
        <w:rPr>
          <w:rFonts w:ascii="Calibri" w:hAnsi="Calibri"/>
          <w:b/>
          <w:bCs/>
          <w:sz w:val="22"/>
        </w:rPr>
        <w:t>Institutional action required:</w:t>
      </w:r>
      <w:r>
        <w:rPr>
          <w:rFonts w:ascii="Calibri" w:hAnsi="Calibri"/>
          <w:sz w:val="22"/>
        </w:rPr>
        <w:t xml:space="preserve"> CBS/Police must restore helmet status recording to ≥25% coverage. Current 14.7% threatens helmet safety monitoring viability in Israel.</w:t>
      </w:r>
    </w:p>
    <w:p w14:paraId="19AD21C4" w14:textId="70AD8B03" w:rsidR="00B42420" w:rsidRPr="00A12799" w:rsidRDefault="00B42420" w:rsidP="00A12799">
      <w:pPr>
        <w:rPr>
          <w:rFonts w:ascii="Calibri" w:hAnsi="Calibri"/>
          <w:sz w:val="22"/>
        </w:rPr>
      </w:pPr>
      <w:r>
        <w:rPr>
          <w:rFonts w:ascii="Calibri" w:hAnsi="Calibri"/>
          <w:b/>
          <w:bCs/>
          <w:sz w:val="22"/>
        </w:rPr>
        <w:t>Bottom line:</w:t>
      </w:r>
      <w:r>
        <w:rPr>
          <w:rFonts w:ascii="Calibri" w:hAnsi="Calibri"/>
          <w:sz w:val="22"/>
        </w:rPr>
        <w:t xml:space="preserve"> The law achieved substantial, sustained behavioral change (2019-2024) with proven injury reduction effect, maintained despite declining enforcement. Whether compliance persists into 2025 cannot be determined due to data collapse. Future monitoring depends on restoring police recording practices.</w:t>
      </w:r>
    </w:p>
    <w:p w14:paraId="2C891C03" w14:textId="168B698E" w:rsidR="00B42420" w:rsidRPr="00A12799" w:rsidRDefault="00B42420" w:rsidP="00A12799">
      <w:pPr>
        <w:pStyle w:val="Heading2"/>
        <w:spacing w:before="480" w:after="240"/>
        <w:rPr>
          <w:b/>
          <w:bCs/>
          <w:color w:val="1F4E79"/>
          <w:sz w:val="28"/>
          <w:szCs w:val="28"/>
        </w:rPr>
      </w:pPr>
      <w:r>
        <w:rPr>
          <w:b/>
          <w:bCs/>
          <w:color w:val="1F4E79"/>
          <w:sz w:val="28"/>
          <w:szCs w:val="28"/>
        </w:rPr>
        <w:t>6.7 Limitations and Future Research</w:t>
      </w:r>
    </w:p>
    <w:p w14:paraId="23046FDD" w14:textId="77777777" w:rsidR="00B42420" w:rsidRPr="00B42420" w:rsidRDefault="00B42420" w:rsidP="00B42420">
      <w:pPr>
        <w:rPr>
          <w:rFonts w:ascii="Calibri" w:hAnsi="Calibri"/>
          <w:sz w:val="22"/>
        </w:rPr>
      </w:pPr>
      <w:r>
        <w:rPr>
          <w:rFonts w:ascii="Calibri" w:hAnsi="Calibri"/>
          <w:b/>
          <w:bCs/>
          <w:sz w:val="22"/>
        </w:rPr>
        <w:t>Data Quality Limitations:</w:t>
      </w:r>
    </w:p>
    <w:p w14:paraId="61E928F8" w14:textId="77777777" w:rsidR="00B42420" w:rsidRPr="00B42420" w:rsidRDefault="00B42420" w:rsidP="00B42420">
      <w:pPr>
        <w:numPr>
          <w:ilvl w:val="0"/>
          <w:numId w:val="77"/>
        </w:numPr>
        <w:rPr>
          <w:rFonts w:ascii="Calibri" w:hAnsi="Calibri"/>
          <w:sz w:val="22"/>
        </w:rPr>
      </w:pPr>
      <w:r>
        <w:rPr>
          <w:rFonts w:ascii="Calibri" w:hAnsi="Calibri"/>
          <w:b/>
          <w:bCs/>
          <w:sz w:val="22"/>
        </w:rPr>
        <w:t>Survey scope:</w:t>
      </w:r>
      <w:r>
        <w:rPr>
          <w:rFonts w:ascii="Calibri" w:hAnsi="Calibri"/>
          <w:sz w:val="22"/>
        </w:rPr>
        <w:t xml:space="preserve"> Captures shared-service subscribers only, excludes private owners</w:t>
      </w:r>
    </w:p>
    <w:p w14:paraId="48D59FB7" w14:textId="77777777" w:rsidR="00B42420" w:rsidRPr="00B42420" w:rsidRDefault="00B42420" w:rsidP="00B42420">
      <w:pPr>
        <w:numPr>
          <w:ilvl w:val="0"/>
          <w:numId w:val="77"/>
        </w:numPr>
        <w:rPr>
          <w:rFonts w:ascii="Calibri" w:hAnsi="Calibri"/>
          <w:sz w:val="22"/>
        </w:rPr>
      </w:pPr>
      <w:r>
        <w:rPr>
          <w:rFonts w:ascii="Calibri" w:hAnsi="Calibri"/>
          <w:b/>
          <w:bCs/>
          <w:sz w:val="22"/>
        </w:rPr>
        <w:t>Enforcement conflation:</w:t>
      </w:r>
      <w:r>
        <w:rPr>
          <w:rFonts w:ascii="Calibri" w:hAnsi="Calibri"/>
          <w:sz w:val="22"/>
        </w:rPr>
        <w:t xml:space="preserve"> Data reflects police deployment patterns, not just rider behavior</w:t>
      </w:r>
    </w:p>
    <w:p w14:paraId="465CFF5B" w14:textId="77777777" w:rsidR="00B42420" w:rsidRPr="00B42420" w:rsidRDefault="00B42420" w:rsidP="00B42420">
      <w:pPr>
        <w:numPr>
          <w:ilvl w:val="0"/>
          <w:numId w:val="77"/>
        </w:numPr>
        <w:rPr>
          <w:rFonts w:ascii="Calibri" w:hAnsi="Calibri"/>
          <w:sz w:val="22"/>
        </w:rPr>
      </w:pPr>
      <w:r>
        <w:rPr>
          <w:rFonts w:ascii="Calibri" w:hAnsi="Calibri"/>
          <w:b/>
          <w:bCs/>
          <w:sz w:val="22"/>
        </w:rPr>
        <w:t>Observation limitations:</w:t>
      </w:r>
      <w:r>
        <w:rPr>
          <w:rFonts w:ascii="Calibri" w:hAnsi="Calibri"/>
          <w:sz w:val="22"/>
        </w:rPr>
        <w:t xml:space="preserve"> 2024 sample too small (n=182), Hawthorne effect possible</w:t>
      </w:r>
    </w:p>
    <w:p w14:paraId="78BD11A8" w14:textId="77777777" w:rsidR="00B42420" w:rsidRPr="00B42420" w:rsidRDefault="00B42420" w:rsidP="00B42420">
      <w:pPr>
        <w:rPr>
          <w:rFonts w:ascii="Calibri" w:hAnsi="Calibri"/>
          <w:sz w:val="22"/>
        </w:rPr>
      </w:pPr>
      <w:r>
        <w:rPr>
          <w:rFonts w:ascii="Calibri" w:hAnsi="Calibri"/>
          <w:b/>
          <w:bCs/>
          <w:sz w:val="22"/>
        </w:rPr>
        <w:t>Analytical Limitations:</w:t>
      </w:r>
    </w:p>
    <w:p w14:paraId="085B64CD" w14:textId="77777777" w:rsidR="00B42420" w:rsidRPr="00B42420" w:rsidRDefault="00B42420" w:rsidP="00B42420">
      <w:pPr>
        <w:numPr>
          <w:ilvl w:val="0"/>
          <w:numId w:val="78"/>
        </w:numPr>
        <w:rPr>
          <w:rFonts w:ascii="Calibri" w:hAnsi="Calibri"/>
          <w:sz w:val="22"/>
        </w:rPr>
      </w:pPr>
      <w:r>
        <w:rPr>
          <w:rFonts w:ascii="Calibri" w:hAnsi="Calibri"/>
          <w:b/>
          <w:bCs/>
          <w:sz w:val="22"/>
        </w:rPr>
        <w:t>Causality:</w:t>
      </w:r>
      <w:r>
        <w:rPr>
          <w:rFonts w:ascii="Calibri" w:hAnsi="Calibri"/>
          <w:sz w:val="22"/>
        </w:rPr>
        <w:t xml:space="preserve"> Temporal correlation is strong, but operator mandates and awareness campaigns also occurred 2020-2021</w:t>
      </w:r>
    </w:p>
    <w:p w14:paraId="5EF10B5C" w14:textId="77777777" w:rsidR="00B42420" w:rsidRPr="00B42420" w:rsidRDefault="00B42420" w:rsidP="00B42420">
      <w:pPr>
        <w:rPr>
          <w:rFonts w:ascii="Calibri" w:hAnsi="Calibri"/>
          <w:sz w:val="22"/>
        </w:rPr>
      </w:pPr>
      <w:r>
        <w:rPr>
          <w:rFonts w:ascii="Calibri" w:hAnsi="Calibri"/>
          <w:b/>
          <w:bCs/>
          <w:sz w:val="22"/>
        </w:rPr>
        <w:t>Threats to Validity:</w:t>
      </w:r>
    </w:p>
    <w:p w14:paraId="604DBCB5" w14:textId="77777777" w:rsidR="00B42420" w:rsidRPr="00B42420" w:rsidRDefault="00B42420" w:rsidP="00B42420">
      <w:pPr>
        <w:numPr>
          <w:ilvl w:val="0"/>
          <w:numId w:val="79"/>
        </w:numPr>
        <w:rPr>
          <w:rFonts w:ascii="Calibri" w:hAnsi="Calibri"/>
          <w:sz w:val="22"/>
        </w:rPr>
      </w:pPr>
      <w:r>
        <w:rPr>
          <w:rFonts w:ascii="Calibri" w:hAnsi="Calibri"/>
          <w:sz w:val="22"/>
        </w:rPr>
        <w:t>Unknown helmet status not random — may correlate with crash severity or officer judgment</w:t>
      </w:r>
    </w:p>
    <w:p w14:paraId="214D685D" w14:textId="77777777" w:rsidR="00B42420" w:rsidRPr="00B42420" w:rsidRDefault="00B42420" w:rsidP="00B42420">
      <w:pPr>
        <w:numPr>
          <w:ilvl w:val="0"/>
          <w:numId w:val="79"/>
        </w:numPr>
        <w:rPr>
          <w:rFonts w:ascii="Calibri" w:hAnsi="Calibri"/>
          <w:sz w:val="22"/>
        </w:rPr>
      </w:pPr>
      <w:r>
        <w:rPr>
          <w:rFonts w:ascii="Calibri" w:hAnsi="Calibri"/>
          <w:sz w:val="22"/>
        </w:rPr>
        <w:t>Survey self-selection bias (response rates unpublished)</w:t>
      </w:r>
    </w:p>
    <w:p w14:paraId="31A96DE2" w14:textId="77777777" w:rsidR="00B42420" w:rsidRPr="00B42420" w:rsidRDefault="00B42420" w:rsidP="00B42420">
      <w:pPr>
        <w:numPr>
          <w:ilvl w:val="0"/>
          <w:numId w:val="79"/>
        </w:numPr>
        <w:rPr>
          <w:rFonts w:ascii="Calibri" w:hAnsi="Calibri"/>
          <w:sz w:val="22"/>
        </w:rPr>
      </w:pPr>
      <w:r>
        <w:rPr>
          <w:rFonts w:ascii="Calibri" w:hAnsi="Calibri"/>
          <w:sz w:val="22"/>
        </w:rPr>
        <w:t>2024-2025 coverage crisis undermines trend analysis</w:t>
      </w:r>
    </w:p>
    <w:p w14:paraId="4BE9567C" w14:textId="77777777" w:rsidR="00B42420" w:rsidRPr="00B42420" w:rsidRDefault="00B42420" w:rsidP="00B42420">
      <w:pPr>
        <w:rPr>
          <w:rFonts w:ascii="Calibri" w:hAnsi="Calibri"/>
          <w:sz w:val="22"/>
        </w:rPr>
      </w:pPr>
      <w:r>
        <w:rPr>
          <w:rFonts w:ascii="Calibri" w:hAnsi="Calibri"/>
          <w:b/>
          <w:bCs/>
          <w:sz w:val="22"/>
        </w:rPr>
        <w:t>Research Priorities:</w:t>
      </w:r>
    </w:p>
    <w:p w14:paraId="51A7B5A7" w14:textId="77777777" w:rsidR="00B42420" w:rsidRPr="00B42420" w:rsidRDefault="00B42420" w:rsidP="00B42420">
      <w:pPr>
        <w:numPr>
          <w:ilvl w:val="0"/>
          <w:numId w:val="80"/>
        </w:numPr>
        <w:rPr>
          <w:rFonts w:ascii="Calibri" w:hAnsi="Calibri"/>
          <w:sz w:val="22"/>
        </w:rPr>
      </w:pPr>
      <w:r>
        <w:rPr>
          <w:rFonts w:ascii="Calibri" w:hAnsi="Calibri"/>
          <w:b/>
          <w:bCs/>
          <w:sz w:val="22"/>
        </w:rPr>
        <w:t>Did helmet use reduce population-level injury severity?</w:t>
      </w:r>
      <w:r>
        <w:rPr>
          <w:rFonts w:ascii="Calibri" w:hAnsi="Calibri"/>
          <w:sz w:val="22"/>
        </w:rPr>
        <w:t xml:space="preserve"> Requires before/after causal analysis controlling for ridership changes</w:t>
      </w:r>
    </w:p>
    <w:p w14:paraId="29F0A302" w14:textId="77777777" w:rsidR="00B42420" w:rsidRPr="00B42420" w:rsidRDefault="00B42420" w:rsidP="00B42420">
      <w:pPr>
        <w:numPr>
          <w:ilvl w:val="0"/>
          <w:numId w:val="80"/>
        </w:numPr>
        <w:rPr>
          <w:rFonts w:ascii="Calibri" w:hAnsi="Calibri"/>
          <w:sz w:val="22"/>
        </w:rPr>
      </w:pPr>
      <w:r>
        <w:rPr>
          <w:rFonts w:ascii="Calibri" w:hAnsi="Calibri"/>
          <w:b/>
          <w:bCs/>
          <w:sz w:val="22"/>
        </w:rPr>
        <w:t>What happened to private e-scooter owners?</w:t>
      </w:r>
      <w:r>
        <w:rPr>
          <w:rFonts w:ascii="Calibri" w:hAnsi="Calibri"/>
          <w:sz w:val="22"/>
        </w:rPr>
        <w:t xml:space="preserve"> Compliance unknown (surveys miss this population)</w:t>
      </w:r>
    </w:p>
    <w:p w14:paraId="0FAA4751" w14:textId="77777777" w:rsidR="00B42420" w:rsidRPr="00B42420" w:rsidRDefault="00B42420" w:rsidP="00B42420">
      <w:pPr>
        <w:numPr>
          <w:ilvl w:val="0"/>
          <w:numId w:val="80"/>
        </w:numPr>
        <w:rPr>
          <w:rFonts w:ascii="Calibri" w:hAnsi="Calibri"/>
          <w:sz w:val="22"/>
        </w:rPr>
      </w:pPr>
      <w:r>
        <w:rPr>
          <w:rFonts w:ascii="Calibri" w:hAnsi="Calibri"/>
          <w:b/>
          <w:bCs/>
          <w:sz w:val="22"/>
        </w:rPr>
        <w:t>Why 2024 enforcement spike?</w:t>
      </w:r>
      <w:r>
        <w:rPr>
          <w:rFonts w:ascii="Calibri" w:hAnsi="Calibri"/>
          <w:sz w:val="22"/>
        </w:rPr>
        <w:t xml:space="preserve"> Enforcement intensified or compliance eroded?</w:t>
      </w:r>
    </w:p>
    <w:p w14:paraId="127E9BC3" w14:textId="77777777" w:rsidR="00B42420" w:rsidRPr="00B42420" w:rsidRDefault="00B42420" w:rsidP="00B42420">
      <w:pPr>
        <w:numPr>
          <w:ilvl w:val="0"/>
          <w:numId w:val="80"/>
        </w:numPr>
        <w:rPr>
          <w:rFonts w:ascii="Calibri" w:hAnsi="Calibri"/>
          <w:sz w:val="22"/>
        </w:rPr>
      </w:pPr>
      <w:r>
        <w:rPr>
          <w:rFonts w:ascii="Calibri" w:hAnsi="Calibri"/>
          <w:b/>
          <w:bCs/>
          <w:sz w:val="22"/>
        </w:rPr>
        <w:t>Passenger safety:</w:t>
      </w:r>
      <w:r>
        <w:rPr>
          <w:rFonts w:ascii="Calibri" w:hAnsi="Calibri"/>
          <w:sz w:val="22"/>
        </w:rPr>
        <w:t xml:space="preserve"> Dedicated study needed given 3× elevated risk</w:t>
      </w:r>
    </w:p>
    <w:p w14:paraId="1E2A3732" w14:textId="77777777" w:rsidR="00B42420" w:rsidRPr="00B42420" w:rsidRDefault="00B42420" w:rsidP="00B42420">
      <w:pPr>
        <w:numPr>
          <w:ilvl w:val="0"/>
          <w:numId w:val="80"/>
        </w:numPr>
        <w:rPr>
          <w:rFonts w:ascii="Calibri" w:hAnsi="Calibri"/>
          <w:sz w:val="22"/>
        </w:rPr>
      </w:pPr>
      <w:r>
        <w:rPr>
          <w:rFonts w:ascii="Calibri" w:hAnsi="Calibri"/>
          <w:b/>
          <w:bCs/>
          <w:sz w:val="22"/>
        </w:rPr>
        <w:lastRenderedPageBreak/>
        <w:t>Long-term compliance:</w:t>
      </w:r>
      <w:r>
        <w:rPr>
          <w:rFonts w:ascii="Calibri" w:hAnsi="Calibri"/>
          <w:sz w:val="22"/>
        </w:rPr>
        <w:t xml:space="preserve"> Will 2025 decline continue or stabilize?</w:t>
      </w:r>
    </w:p>
    <w:p w14:paraId="5FE2B43F" w14:textId="77777777" w:rsidR="005A2747" w:rsidRPr="003E5232" w:rsidRDefault="005A2747" w:rsidP="003E5232">
      <w:pPr>
        <w:rPr>
          <w:rFonts w:ascii="Calibri" w:hAnsi="Calibri"/>
          <w:sz w:val="22"/>
        </w:rPr>
      </w:pPr>
    </w:p>
    <w:p w14:paraId="453AD5F1" w14:textId="77777777" w:rsidR="00D41392" w:rsidRDefault="004C0940">
      <w:pPr>
        <w:pStyle w:val="Heading1"/>
        <w:rPr>
          <w:rFonts w:ascii="Calibri" w:hAnsi="Calibri"/>
          <w:b/>
          <w:bCs/>
          <w:color w:val="1F4E79"/>
          <w:sz w:val="24"/>
          <w:szCs w:val="24"/>
        </w:rPr>
      </w:pPr>
      <w:bookmarkStart w:id="14" w:name="data-sources"/>
      <w:bookmarkEnd w:id="12"/>
      <w:bookmarkEnd w:id="13"/>
      <w:r>
        <w:rPr>
          <w:rFonts w:ascii="Calibri" w:hAnsi="Calibri"/>
          <w:b/>
          <w:bCs/>
          <w:color w:val="1F4E79"/>
          <w:sz w:val="24"/>
          <w:szCs w:val="24"/>
        </w:rPr>
        <w:t>Data Sources</w:t>
      </w:r>
    </w:p>
    <w:p w14:paraId="5FBB50E6" w14:textId="77777777" w:rsidR="00F356F7" w:rsidRPr="00F356F7" w:rsidRDefault="00F356F7" w:rsidP="00F356F7">
      <w:pPr>
        <w:rPr>
          <w:rFonts w:ascii="Calibri" w:hAnsi="Calibri"/>
          <w:sz w:val="24"/>
          <w:szCs w:val="24"/>
        </w:rPr>
      </w:pPr>
      <w:r>
        <w:rPr>
          <w:rFonts w:ascii="Calibri" w:hAnsi="Calibri"/>
          <w:sz w:val="24"/>
          <w:szCs w:val="24"/>
        </w:rPr>
        <w:t>1. CBS Crash Data (2013-2025)</w:t>
      </w:r>
      <w:r>
        <w:rPr>
          <w:rFonts w:ascii="Calibri" w:hAnsi="Calibri"/>
          <w:sz w:val="24"/>
          <w:szCs w:val="24"/>
        </w:rPr>
        <w:br/>
        <w:t>Central Bureau of Statistics, Israel. E-scooter traffic crash records (N=2,659), presented in "Understanding E-Scooter Risks in Tel Aviv, 2013-2025" Power BI report.</w:t>
      </w:r>
    </w:p>
    <w:p w14:paraId="301B72C7" w14:textId="77777777" w:rsidR="00F356F7" w:rsidRPr="00F356F7" w:rsidRDefault="00F356F7" w:rsidP="00F356F7">
      <w:pPr>
        <w:rPr>
          <w:rFonts w:ascii="Calibri" w:hAnsi="Calibri"/>
          <w:sz w:val="24"/>
          <w:szCs w:val="24"/>
        </w:rPr>
      </w:pPr>
      <w:r>
        <w:rPr>
          <w:rFonts w:ascii="Calibri" w:hAnsi="Calibri"/>
          <w:sz w:val="24"/>
          <w:szCs w:val="24"/>
        </w:rPr>
        <w:t>2. Tel Aviv Municipal Surveys (2019-2022)</w:t>
      </w:r>
      <w:r>
        <w:rPr>
          <w:rFonts w:ascii="Calibri" w:hAnsi="Calibri"/>
          <w:sz w:val="24"/>
          <w:szCs w:val="24"/>
        </w:rPr>
        <w:br/>
      </w:r>
      <w:r>
        <w:rPr>
          <w:rFonts w:ascii="Calibri" w:hAnsi="Calibri"/>
          <w:sz w:val="24"/>
          <w:szCs w:val="24"/>
          <w:rtl/>
        </w:rPr>
        <w:t>רשות התחבורה והחנייה תל אביב-יפו</w:t>
      </w:r>
      <w:r>
        <w:rPr>
          <w:rFonts w:ascii="Calibri" w:hAnsi="Calibri"/>
          <w:sz w:val="24"/>
          <w:szCs w:val="24"/>
        </w:rPr>
        <w:t xml:space="preserve"> (Tel Aviv Transport and Parking Authority)</w:t>
      </w:r>
      <w:r>
        <w:rPr>
          <w:rFonts w:ascii="Calibri" w:hAnsi="Calibri"/>
          <w:sz w:val="24"/>
          <w:szCs w:val="24"/>
        </w:rPr>
        <w:br/>
      </w:r>
      <w:r>
        <w:rPr>
          <w:rFonts w:ascii="Calibri" w:hAnsi="Calibri"/>
          <w:sz w:val="24"/>
          <w:szCs w:val="24"/>
          <w:rtl/>
        </w:rPr>
        <w:t>ממצאי סקר קורקינטים חשמליים</w:t>
      </w:r>
      <w:r>
        <w:rPr>
          <w:rFonts w:ascii="Calibri" w:hAnsi="Calibri"/>
          <w:sz w:val="24"/>
          <w:szCs w:val="24"/>
        </w:rPr>
        <w:t xml:space="preserve"> — E-Scooter Survey Findings, December 2021 and December 2022 (N=1,875 shared e-scooter subscribers).</w:t>
      </w:r>
    </w:p>
    <w:p w14:paraId="280F135D" w14:textId="77777777" w:rsidR="00F356F7" w:rsidRPr="00F356F7" w:rsidRDefault="00F356F7" w:rsidP="00F356F7">
      <w:pPr>
        <w:rPr>
          <w:rFonts w:ascii="Calibri" w:hAnsi="Calibri"/>
          <w:sz w:val="24"/>
          <w:szCs w:val="24"/>
        </w:rPr>
      </w:pPr>
      <w:r>
        <w:rPr>
          <w:rFonts w:ascii="Calibri" w:hAnsi="Calibri"/>
          <w:sz w:val="24"/>
          <w:szCs w:val="24"/>
        </w:rPr>
        <w:t>3. Tel Aviv Enforcement Data (2019-2024)</w:t>
      </w:r>
      <w:r>
        <w:rPr>
          <w:rFonts w:ascii="Calibri" w:hAnsi="Calibri"/>
          <w:sz w:val="24"/>
          <w:szCs w:val="24"/>
        </w:rPr>
        <w:br/>
      </w:r>
      <w:r>
        <w:rPr>
          <w:rFonts w:ascii="Calibri" w:hAnsi="Calibri"/>
          <w:sz w:val="24"/>
          <w:szCs w:val="24"/>
          <w:rtl/>
        </w:rPr>
        <w:t>אכיפת קורקינטים חשמליים בתל אביב</w:t>
      </w:r>
      <w:r>
        <w:rPr>
          <w:rFonts w:ascii="Calibri" w:hAnsi="Calibri"/>
          <w:sz w:val="24"/>
          <w:szCs w:val="24"/>
        </w:rPr>
        <w:t xml:space="preserve"> — Tel Aviv E-Scooter Enforcement</w:t>
      </w:r>
      <w:r>
        <w:rPr>
          <w:rFonts w:ascii="Calibri" w:hAnsi="Calibri"/>
          <w:sz w:val="24"/>
          <w:szCs w:val="24"/>
        </w:rPr>
        <w:br/>
      </w:r>
      <w:r>
        <w:rPr>
          <w:rFonts w:ascii="Calibri" w:hAnsi="Calibri"/>
          <w:sz w:val="24"/>
          <w:szCs w:val="24"/>
          <w:rtl/>
        </w:rPr>
        <w:t>נתוני אכיפה: דו"חות על רכיבה ללא קסדה</w:t>
      </w:r>
      <w:r>
        <w:rPr>
          <w:rFonts w:ascii="Calibri" w:hAnsi="Calibri"/>
          <w:sz w:val="24"/>
          <w:szCs w:val="24"/>
        </w:rPr>
        <w:t xml:space="preserve"> — No-helmet violation records across all types and vehicles (N=13,837 total; no-helmet e-scooter fines specifically: N=7,561).</w:t>
      </w:r>
    </w:p>
    <w:p w14:paraId="65668CCE" w14:textId="77777777" w:rsidR="00F356F7" w:rsidRPr="00F356F7" w:rsidRDefault="00F356F7" w:rsidP="00F356F7">
      <w:pPr>
        <w:rPr>
          <w:rFonts w:ascii="Calibri" w:hAnsi="Calibri"/>
          <w:sz w:val="24"/>
          <w:szCs w:val="24"/>
        </w:rPr>
      </w:pPr>
      <w:r>
        <w:rPr>
          <w:rFonts w:ascii="Calibri" w:hAnsi="Calibri"/>
          <w:sz w:val="24"/>
          <w:szCs w:val="24"/>
        </w:rPr>
        <w:t>4. Field Observation Data (2024-2025)</w:t>
      </w:r>
      <w:r>
        <w:rPr>
          <w:rFonts w:ascii="Calibri" w:hAnsi="Calibri"/>
          <w:sz w:val="24"/>
          <w:szCs w:val="24"/>
        </w:rPr>
        <w:br/>
        <w:t>Direct observational study of e-scooter riders at Tel Aviv traffic hot spots (N=1,777).</w:t>
      </w:r>
    </w:p>
    <w:p w14:paraId="2A34B99E" w14:textId="77777777" w:rsidR="00F356F7" w:rsidRPr="00F356F7" w:rsidRDefault="00F356F7" w:rsidP="00F356F7">
      <w:pPr>
        <w:rPr>
          <w:rFonts w:ascii="Calibri" w:hAnsi="Calibri"/>
          <w:sz w:val="24"/>
          <w:szCs w:val="24"/>
        </w:rPr>
      </w:pPr>
      <w:r>
        <w:rPr>
          <w:rFonts w:ascii="Calibri" w:hAnsi="Calibri"/>
          <w:sz w:val="24"/>
          <w:szCs w:val="24"/>
        </w:rPr>
        <w:t xml:space="preserve">5. </w:t>
      </w:r>
      <w:proofErr w:type="spellStart"/>
      <w:r>
        <w:rPr>
          <w:rFonts w:ascii="Calibri" w:hAnsi="Calibri"/>
          <w:sz w:val="24"/>
          <w:szCs w:val="24"/>
        </w:rPr>
        <w:t>Sourasky</w:t>
      </w:r>
      <w:proofErr w:type="spellEnd"/>
      <w:r>
        <w:rPr>
          <w:rFonts w:ascii="Calibri" w:hAnsi="Calibri"/>
          <w:sz w:val="24"/>
          <w:szCs w:val="24"/>
        </w:rPr>
        <w:t xml:space="preserve"> Medical Center, Tel Aviv (2019-2020)</w:t>
      </w:r>
      <w:r>
        <w:rPr>
          <w:rFonts w:ascii="Calibri" w:hAnsi="Calibri"/>
          <w:sz w:val="24"/>
          <w:szCs w:val="24"/>
        </w:rPr>
        <w:br/>
        <w:t xml:space="preserve">Bodner, L., et al. (2021). Maxillofacial injuries among e-scooter riders. Emergency department admissions (N=238). </w:t>
      </w:r>
      <w:r>
        <w:rPr>
          <w:rFonts w:ascii="Calibri" w:hAnsi="Calibri"/>
          <w:i/>
          <w:iCs/>
          <w:sz w:val="24"/>
          <w:szCs w:val="24"/>
        </w:rPr>
        <w:t>Comparison only — not part of primary 4-source analysis.</w:t>
      </w:r>
      <w:bookmarkEnd w:id="14"/>
    </w:p>
    <w:sectPr w:rsidR="00F356F7" w:rsidRPr="00F356F7" w:rsidSect="004C094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7A6B0" w14:textId="77777777" w:rsidR="003166A5" w:rsidRDefault="003166A5">
      <w:r>
        <w:separator/>
      </w:r>
    </w:p>
  </w:endnote>
  <w:endnote w:type="continuationSeparator" w:id="0">
    <w:p w14:paraId="02DA4019" w14:textId="77777777" w:rsidR="003166A5" w:rsidRDefault="0031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D600" w14:textId="77777777" w:rsidR="003166A5" w:rsidRDefault="003166A5">
      <w:r>
        <w:separator/>
      </w:r>
    </w:p>
  </w:footnote>
  <w:footnote w:type="continuationSeparator" w:id="0">
    <w:p w14:paraId="1D322604" w14:textId="77777777" w:rsidR="003166A5" w:rsidRDefault="00316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1CC7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9CCA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40A7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E61F21"/>
    <w:multiLevelType w:val="multilevel"/>
    <w:tmpl w:val="C37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1118"/>
    <w:multiLevelType w:val="hybridMultilevel"/>
    <w:tmpl w:val="F57ACFA4"/>
    <w:lvl w:ilvl="0" w:tplc="5DD409C2">
      <w:start w:val="1"/>
      <w:numFmt w:val="bullet"/>
      <w:lvlText w:val="•"/>
      <w:lvlJc w:val="left"/>
      <w:pPr>
        <w:ind w:left="720" w:hanging="360"/>
      </w:pPr>
    </w:lvl>
    <w:lvl w:ilvl="1" w:tplc="CA86ED90">
      <w:numFmt w:val="decimal"/>
      <w:lvlText w:val=""/>
      <w:lvlJc w:val="left"/>
    </w:lvl>
    <w:lvl w:ilvl="2" w:tplc="7666BB5E">
      <w:numFmt w:val="decimal"/>
      <w:lvlText w:val=""/>
      <w:lvlJc w:val="left"/>
    </w:lvl>
    <w:lvl w:ilvl="3" w:tplc="B75CF0EA">
      <w:numFmt w:val="decimal"/>
      <w:lvlText w:val=""/>
      <w:lvlJc w:val="left"/>
    </w:lvl>
    <w:lvl w:ilvl="4" w:tplc="09DCB296">
      <w:numFmt w:val="decimal"/>
      <w:lvlText w:val=""/>
      <w:lvlJc w:val="left"/>
    </w:lvl>
    <w:lvl w:ilvl="5" w:tplc="A462D9FA">
      <w:numFmt w:val="decimal"/>
      <w:lvlText w:val=""/>
      <w:lvlJc w:val="left"/>
    </w:lvl>
    <w:lvl w:ilvl="6" w:tplc="D230073A">
      <w:numFmt w:val="decimal"/>
      <w:lvlText w:val=""/>
      <w:lvlJc w:val="left"/>
    </w:lvl>
    <w:lvl w:ilvl="7" w:tplc="805005DE">
      <w:numFmt w:val="decimal"/>
      <w:lvlText w:val=""/>
      <w:lvlJc w:val="left"/>
    </w:lvl>
    <w:lvl w:ilvl="8" w:tplc="8B1AEB30">
      <w:numFmt w:val="decimal"/>
      <w:lvlText w:val=""/>
      <w:lvlJc w:val="left"/>
    </w:lvl>
  </w:abstractNum>
  <w:abstractNum w:abstractNumId="5" w15:restartNumberingAfterBreak="0">
    <w:nsid w:val="07C66B20"/>
    <w:multiLevelType w:val="multilevel"/>
    <w:tmpl w:val="0E98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67454"/>
    <w:multiLevelType w:val="multilevel"/>
    <w:tmpl w:val="03E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C72AF"/>
    <w:multiLevelType w:val="multilevel"/>
    <w:tmpl w:val="0C2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E563D"/>
    <w:multiLevelType w:val="multilevel"/>
    <w:tmpl w:val="79F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E4E48"/>
    <w:multiLevelType w:val="multilevel"/>
    <w:tmpl w:val="DF7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57410"/>
    <w:multiLevelType w:val="hybridMultilevel"/>
    <w:tmpl w:val="A9DCF232"/>
    <w:lvl w:ilvl="0" w:tplc="FC3E79DA">
      <w:start w:val="1"/>
      <w:numFmt w:val="bullet"/>
      <w:lvlText w:val="●"/>
      <w:lvlJc w:val="left"/>
      <w:pPr>
        <w:ind w:left="720" w:hanging="360"/>
      </w:pPr>
    </w:lvl>
    <w:lvl w:ilvl="1" w:tplc="126AD230">
      <w:start w:val="1"/>
      <w:numFmt w:val="bullet"/>
      <w:lvlText w:val="○"/>
      <w:lvlJc w:val="left"/>
      <w:pPr>
        <w:ind w:left="1440" w:hanging="360"/>
      </w:pPr>
    </w:lvl>
    <w:lvl w:ilvl="2" w:tplc="FEE89B5C">
      <w:start w:val="1"/>
      <w:numFmt w:val="bullet"/>
      <w:lvlText w:val="■"/>
      <w:lvlJc w:val="left"/>
      <w:pPr>
        <w:ind w:left="2160" w:hanging="360"/>
      </w:pPr>
    </w:lvl>
    <w:lvl w:ilvl="3" w:tplc="8AB60B08">
      <w:start w:val="1"/>
      <w:numFmt w:val="bullet"/>
      <w:lvlText w:val="●"/>
      <w:lvlJc w:val="left"/>
      <w:pPr>
        <w:ind w:left="2880" w:hanging="360"/>
      </w:pPr>
    </w:lvl>
    <w:lvl w:ilvl="4" w:tplc="95D0D2CC">
      <w:start w:val="1"/>
      <w:numFmt w:val="bullet"/>
      <w:lvlText w:val="○"/>
      <w:lvlJc w:val="left"/>
      <w:pPr>
        <w:ind w:left="3600" w:hanging="360"/>
      </w:pPr>
    </w:lvl>
    <w:lvl w:ilvl="5" w:tplc="8916A942">
      <w:start w:val="1"/>
      <w:numFmt w:val="bullet"/>
      <w:lvlText w:val="■"/>
      <w:lvlJc w:val="left"/>
      <w:pPr>
        <w:ind w:left="4320" w:hanging="360"/>
      </w:pPr>
    </w:lvl>
    <w:lvl w:ilvl="6" w:tplc="FE687130">
      <w:start w:val="1"/>
      <w:numFmt w:val="bullet"/>
      <w:lvlText w:val="●"/>
      <w:lvlJc w:val="left"/>
      <w:pPr>
        <w:ind w:left="5040" w:hanging="360"/>
      </w:pPr>
    </w:lvl>
    <w:lvl w:ilvl="7" w:tplc="BD34F1D2">
      <w:start w:val="1"/>
      <w:numFmt w:val="bullet"/>
      <w:lvlText w:val="●"/>
      <w:lvlJc w:val="left"/>
      <w:pPr>
        <w:ind w:left="5760" w:hanging="360"/>
      </w:pPr>
    </w:lvl>
    <w:lvl w:ilvl="8" w:tplc="8938BA6E">
      <w:start w:val="1"/>
      <w:numFmt w:val="bullet"/>
      <w:lvlText w:val="●"/>
      <w:lvlJc w:val="left"/>
      <w:pPr>
        <w:ind w:left="6480" w:hanging="360"/>
      </w:pPr>
    </w:lvl>
  </w:abstractNum>
  <w:abstractNum w:abstractNumId="11" w15:restartNumberingAfterBreak="0">
    <w:nsid w:val="0F416ADD"/>
    <w:multiLevelType w:val="multilevel"/>
    <w:tmpl w:val="D18A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E76A3"/>
    <w:multiLevelType w:val="multilevel"/>
    <w:tmpl w:val="5CF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B3324"/>
    <w:multiLevelType w:val="multilevel"/>
    <w:tmpl w:val="359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B4189"/>
    <w:multiLevelType w:val="multilevel"/>
    <w:tmpl w:val="AC3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F5356"/>
    <w:multiLevelType w:val="multilevel"/>
    <w:tmpl w:val="8F4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B1F44"/>
    <w:multiLevelType w:val="multilevel"/>
    <w:tmpl w:val="3F16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74158"/>
    <w:multiLevelType w:val="multilevel"/>
    <w:tmpl w:val="315E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975304"/>
    <w:multiLevelType w:val="multilevel"/>
    <w:tmpl w:val="245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60BE8"/>
    <w:multiLevelType w:val="multilevel"/>
    <w:tmpl w:val="0B4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85BBD"/>
    <w:multiLevelType w:val="multilevel"/>
    <w:tmpl w:val="708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54E7F"/>
    <w:multiLevelType w:val="multilevel"/>
    <w:tmpl w:val="31C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95CC4"/>
    <w:multiLevelType w:val="multilevel"/>
    <w:tmpl w:val="301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108CB"/>
    <w:multiLevelType w:val="multilevel"/>
    <w:tmpl w:val="E6F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B5451B"/>
    <w:multiLevelType w:val="multilevel"/>
    <w:tmpl w:val="A31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E56D1"/>
    <w:multiLevelType w:val="multilevel"/>
    <w:tmpl w:val="A03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15A30"/>
    <w:multiLevelType w:val="multilevel"/>
    <w:tmpl w:val="6FCC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EE4E73"/>
    <w:multiLevelType w:val="hybridMultilevel"/>
    <w:tmpl w:val="9CB4180C"/>
    <w:lvl w:ilvl="0" w:tplc="9FDE827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25774E"/>
    <w:multiLevelType w:val="multilevel"/>
    <w:tmpl w:val="58F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F6A81"/>
    <w:multiLevelType w:val="multilevel"/>
    <w:tmpl w:val="4D5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43644"/>
    <w:multiLevelType w:val="hybridMultilevel"/>
    <w:tmpl w:val="1F2EA3D8"/>
    <w:lvl w:ilvl="0" w:tplc="FF1A2888">
      <w:start w:val="1"/>
      <w:numFmt w:val="bullet"/>
      <w:lvlText w:val="•"/>
      <w:lvlJc w:val="left"/>
      <w:pPr>
        <w:ind w:left="360" w:hanging="360"/>
      </w:pPr>
    </w:lvl>
    <w:lvl w:ilvl="1" w:tplc="67824D80">
      <w:numFmt w:val="decimal"/>
      <w:lvlText w:val=""/>
      <w:lvlJc w:val="left"/>
    </w:lvl>
    <w:lvl w:ilvl="2" w:tplc="95E4F95E">
      <w:numFmt w:val="decimal"/>
      <w:lvlText w:val=""/>
      <w:lvlJc w:val="left"/>
    </w:lvl>
    <w:lvl w:ilvl="3" w:tplc="51743D0E">
      <w:numFmt w:val="decimal"/>
      <w:lvlText w:val=""/>
      <w:lvlJc w:val="left"/>
    </w:lvl>
    <w:lvl w:ilvl="4" w:tplc="99A27982">
      <w:numFmt w:val="decimal"/>
      <w:lvlText w:val=""/>
      <w:lvlJc w:val="left"/>
    </w:lvl>
    <w:lvl w:ilvl="5" w:tplc="ED14D108">
      <w:numFmt w:val="decimal"/>
      <w:lvlText w:val=""/>
      <w:lvlJc w:val="left"/>
    </w:lvl>
    <w:lvl w:ilvl="6" w:tplc="C414D21A">
      <w:numFmt w:val="decimal"/>
      <w:lvlText w:val=""/>
      <w:lvlJc w:val="left"/>
    </w:lvl>
    <w:lvl w:ilvl="7" w:tplc="E8A0F2A6">
      <w:numFmt w:val="decimal"/>
      <w:lvlText w:val=""/>
      <w:lvlJc w:val="left"/>
    </w:lvl>
    <w:lvl w:ilvl="8" w:tplc="8F0C635A">
      <w:numFmt w:val="decimal"/>
      <w:lvlText w:val=""/>
      <w:lvlJc w:val="left"/>
    </w:lvl>
  </w:abstractNum>
  <w:abstractNum w:abstractNumId="31" w15:restartNumberingAfterBreak="0">
    <w:nsid w:val="32192F99"/>
    <w:multiLevelType w:val="multilevel"/>
    <w:tmpl w:val="831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9133A3"/>
    <w:multiLevelType w:val="multilevel"/>
    <w:tmpl w:val="712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C5081"/>
    <w:multiLevelType w:val="multilevel"/>
    <w:tmpl w:val="3CF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C37CC"/>
    <w:multiLevelType w:val="multilevel"/>
    <w:tmpl w:val="BC5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884936"/>
    <w:multiLevelType w:val="multilevel"/>
    <w:tmpl w:val="CAF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83EC5"/>
    <w:multiLevelType w:val="multilevel"/>
    <w:tmpl w:val="971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5B4B0B"/>
    <w:multiLevelType w:val="multilevel"/>
    <w:tmpl w:val="6EA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07C66"/>
    <w:multiLevelType w:val="multilevel"/>
    <w:tmpl w:val="33E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2A0079"/>
    <w:multiLevelType w:val="hybridMultilevel"/>
    <w:tmpl w:val="64F0D47A"/>
    <w:lvl w:ilvl="0" w:tplc="29FE6EA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242892"/>
    <w:multiLevelType w:val="multilevel"/>
    <w:tmpl w:val="424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77721"/>
    <w:multiLevelType w:val="multilevel"/>
    <w:tmpl w:val="FA9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40C63"/>
    <w:multiLevelType w:val="multilevel"/>
    <w:tmpl w:val="AB5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14441"/>
    <w:multiLevelType w:val="hybridMultilevel"/>
    <w:tmpl w:val="DA1A9E52"/>
    <w:lvl w:ilvl="0" w:tplc="2528B6F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E64D1C"/>
    <w:multiLevelType w:val="multilevel"/>
    <w:tmpl w:val="F4D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01B30"/>
    <w:multiLevelType w:val="multilevel"/>
    <w:tmpl w:val="483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71012"/>
    <w:multiLevelType w:val="multilevel"/>
    <w:tmpl w:val="824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A110D"/>
    <w:multiLevelType w:val="multilevel"/>
    <w:tmpl w:val="AA80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B1405"/>
    <w:multiLevelType w:val="hybridMultilevel"/>
    <w:tmpl w:val="4A82D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9C81D0B"/>
    <w:multiLevelType w:val="multilevel"/>
    <w:tmpl w:val="D62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A34594"/>
    <w:multiLevelType w:val="multilevel"/>
    <w:tmpl w:val="F3BA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577E18"/>
    <w:multiLevelType w:val="multilevel"/>
    <w:tmpl w:val="415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450532"/>
    <w:multiLevelType w:val="multilevel"/>
    <w:tmpl w:val="E4C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97B42"/>
    <w:multiLevelType w:val="multilevel"/>
    <w:tmpl w:val="DD1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A4680"/>
    <w:multiLevelType w:val="multilevel"/>
    <w:tmpl w:val="C44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E6479"/>
    <w:multiLevelType w:val="multilevel"/>
    <w:tmpl w:val="A71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2C0905"/>
    <w:multiLevelType w:val="multilevel"/>
    <w:tmpl w:val="80A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764AC"/>
    <w:multiLevelType w:val="multilevel"/>
    <w:tmpl w:val="EE8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7A1614"/>
    <w:multiLevelType w:val="multilevel"/>
    <w:tmpl w:val="8A2C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AB667B"/>
    <w:multiLevelType w:val="multilevel"/>
    <w:tmpl w:val="A39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C1266"/>
    <w:multiLevelType w:val="multilevel"/>
    <w:tmpl w:val="182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034A5"/>
    <w:multiLevelType w:val="multilevel"/>
    <w:tmpl w:val="A6D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B0D9B"/>
    <w:multiLevelType w:val="multilevel"/>
    <w:tmpl w:val="3CA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86571E"/>
    <w:multiLevelType w:val="multilevel"/>
    <w:tmpl w:val="B6AC6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9938B7"/>
    <w:multiLevelType w:val="multilevel"/>
    <w:tmpl w:val="226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D2DA8"/>
    <w:multiLevelType w:val="multilevel"/>
    <w:tmpl w:val="A29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398658">
    <w:abstractNumId w:val="10"/>
    <w:lvlOverride w:ilvl="0">
      <w:startOverride w:val="1"/>
    </w:lvlOverride>
  </w:num>
  <w:num w:numId="2" w16cid:durableId="264970722">
    <w:abstractNumId w:val="30"/>
    <w:lvlOverride w:ilvl="0">
      <w:startOverride w:val="1"/>
    </w:lvlOverride>
  </w:num>
  <w:num w:numId="3" w16cid:durableId="1492402144">
    <w:abstractNumId w:val="54"/>
  </w:num>
  <w:num w:numId="4" w16cid:durableId="217253081">
    <w:abstractNumId w:val="33"/>
  </w:num>
  <w:num w:numId="5" w16cid:durableId="561644384">
    <w:abstractNumId w:val="22"/>
  </w:num>
  <w:num w:numId="6" w16cid:durableId="788011198">
    <w:abstractNumId w:val="29"/>
  </w:num>
  <w:num w:numId="7" w16cid:durableId="185871634">
    <w:abstractNumId w:val="60"/>
  </w:num>
  <w:num w:numId="8" w16cid:durableId="1831562041">
    <w:abstractNumId w:val="44"/>
  </w:num>
  <w:num w:numId="9" w16cid:durableId="1562331431">
    <w:abstractNumId w:val="39"/>
  </w:num>
  <w:num w:numId="10" w16cid:durableId="439490389">
    <w:abstractNumId w:val="27"/>
  </w:num>
  <w:num w:numId="11" w16cid:durableId="881597166">
    <w:abstractNumId w:val="36"/>
  </w:num>
  <w:num w:numId="12" w16cid:durableId="2046103001">
    <w:abstractNumId w:val="4"/>
    <w:lvlOverride w:ilvl="0">
      <w:startOverride w:val="1"/>
    </w:lvlOverride>
  </w:num>
  <w:num w:numId="13" w16cid:durableId="2122337140">
    <w:abstractNumId w:val="0"/>
  </w:num>
  <w:num w:numId="14" w16cid:durableId="1839731824">
    <w:abstractNumId w:val="1"/>
  </w:num>
  <w:num w:numId="15" w16cid:durableId="1851215594">
    <w:abstractNumId w:val="1"/>
  </w:num>
  <w:num w:numId="16" w16cid:durableId="228927966">
    <w:abstractNumId w:val="1"/>
  </w:num>
  <w:num w:numId="17" w16cid:durableId="1801610880">
    <w:abstractNumId w:val="1"/>
  </w:num>
  <w:num w:numId="18" w16cid:durableId="2003702766">
    <w:abstractNumId w:val="1"/>
  </w:num>
  <w:num w:numId="19" w16cid:durableId="1488473962">
    <w:abstractNumId w:val="1"/>
  </w:num>
  <w:num w:numId="20" w16cid:durableId="221866230">
    <w:abstractNumId w:val="1"/>
  </w:num>
  <w:num w:numId="21" w16cid:durableId="1446583157">
    <w:abstractNumId w:val="1"/>
  </w:num>
  <w:num w:numId="22" w16cid:durableId="1447850162">
    <w:abstractNumId w:val="1"/>
  </w:num>
  <w:num w:numId="23" w16cid:durableId="1759017693">
    <w:abstractNumId w:val="1"/>
  </w:num>
  <w:num w:numId="24" w16cid:durableId="308705411">
    <w:abstractNumId w:val="1"/>
  </w:num>
  <w:num w:numId="25" w16cid:durableId="2009945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3607883">
    <w:abstractNumId w:val="1"/>
  </w:num>
  <w:num w:numId="27" w16cid:durableId="866988997">
    <w:abstractNumId w:val="1"/>
  </w:num>
  <w:num w:numId="28" w16cid:durableId="144064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3006836">
    <w:abstractNumId w:val="1"/>
  </w:num>
  <w:num w:numId="30" w16cid:durableId="1340766820">
    <w:abstractNumId w:val="1"/>
  </w:num>
  <w:num w:numId="31" w16cid:durableId="1040788914">
    <w:abstractNumId w:val="1"/>
  </w:num>
  <w:num w:numId="32" w16cid:durableId="995955835">
    <w:abstractNumId w:val="1"/>
  </w:num>
  <w:num w:numId="33" w16cid:durableId="1084494931">
    <w:abstractNumId w:val="1"/>
  </w:num>
  <w:num w:numId="34" w16cid:durableId="1827090344">
    <w:abstractNumId w:val="1"/>
  </w:num>
  <w:num w:numId="35" w16cid:durableId="1226449181">
    <w:abstractNumId w:val="1"/>
  </w:num>
  <w:num w:numId="36" w16cid:durableId="1497307662">
    <w:abstractNumId w:val="1"/>
  </w:num>
  <w:num w:numId="37" w16cid:durableId="1577666669">
    <w:abstractNumId w:val="1"/>
  </w:num>
  <w:num w:numId="38" w16cid:durableId="2027629948">
    <w:abstractNumId w:val="1"/>
  </w:num>
  <w:num w:numId="39" w16cid:durableId="479998337">
    <w:abstractNumId w:val="1"/>
  </w:num>
  <w:num w:numId="40" w16cid:durableId="1909535672">
    <w:abstractNumId w:val="1"/>
  </w:num>
  <w:num w:numId="41" w16cid:durableId="366611124">
    <w:abstractNumId w:val="1"/>
  </w:num>
  <w:num w:numId="42" w16cid:durableId="2113044410">
    <w:abstractNumId w:val="1"/>
  </w:num>
  <w:num w:numId="43" w16cid:durableId="1508133966">
    <w:abstractNumId w:val="1"/>
  </w:num>
  <w:num w:numId="44" w16cid:durableId="2118018881">
    <w:abstractNumId w:val="1"/>
  </w:num>
  <w:num w:numId="45" w16cid:durableId="785932223">
    <w:abstractNumId w:val="64"/>
  </w:num>
  <w:num w:numId="46" w16cid:durableId="1490633857">
    <w:abstractNumId w:val="42"/>
  </w:num>
  <w:num w:numId="47" w16cid:durableId="1580821418">
    <w:abstractNumId w:val="47"/>
  </w:num>
  <w:num w:numId="48" w16cid:durableId="404882696">
    <w:abstractNumId w:val="32"/>
  </w:num>
  <w:num w:numId="49" w16cid:durableId="652411413">
    <w:abstractNumId w:val="5"/>
  </w:num>
  <w:num w:numId="50" w16cid:durableId="1332220204">
    <w:abstractNumId w:val="20"/>
  </w:num>
  <w:num w:numId="51" w16cid:durableId="764770074">
    <w:abstractNumId w:val="17"/>
  </w:num>
  <w:num w:numId="52" w16cid:durableId="1362630721">
    <w:abstractNumId w:val="56"/>
  </w:num>
  <w:num w:numId="53" w16cid:durableId="1378045703">
    <w:abstractNumId w:val="31"/>
  </w:num>
  <w:num w:numId="54" w16cid:durableId="1648514971">
    <w:abstractNumId w:val="19"/>
  </w:num>
  <w:num w:numId="55" w16cid:durableId="286277913">
    <w:abstractNumId w:val="15"/>
  </w:num>
  <w:num w:numId="56" w16cid:durableId="1722288644">
    <w:abstractNumId w:val="14"/>
  </w:num>
  <w:num w:numId="57" w16cid:durableId="1694769258">
    <w:abstractNumId w:val="57"/>
  </w:num>
  <w:num w:numId="58" w16cid:durableId="2101368945">
    <w:abstractNumId w:val="38"/>
  </w:num>
  <w:num w:numId="59" w16cid:durableId="1918704557">
    <w:abstractNumId w:val="25"/>
  </w:num>
  <w:num w:numId="60" w16cid:durableId="1740397907">
    <w:abstractNumId w:val="52"/>
  </w:num>
  <w:num w:numId="61" w16cid:durableId="1422678275">
    <w:abstractNumId w:val="3"/>
  </w:num>
  <w:num w:numId="62" w16cid:durableId="243219926">
    <w:abstractNumId w:val="21"/>
  </w:num>
  <w:num w:numId="63" w16cid:durableId="1883513061">
    <w:abstractNumId w:val="63"/>
  </w:num>
  <w:num w:numId="64" w16cid:durableId="1150512045">
    <w:abstractNumId w:val="28"/>
  </w:num>
  <w:num w:numId="65" w16cid:durableId="1008368163">
    <w:abstractNumId w:val="12"/>
  </w:num>
  <w:num w:numId="66" w16cid:durableId="1387408317">
    <w:abstractNumId w:val="55"/>
  </w:num>
  <w:num w:numId="67" w16cid:durableId="628902671">
    <w:abstractNumId w:val="23"/>
  </w:num>
  <w:num w:numId="68" w16cid:durableId="1792941066">
    <w:abstractNumId w:val="18"/>
  </w:num>
  <w:num w:numId="69" w16cid:durableId="1147823970">
    <w:abstractNumId w:val="58"/>
  </w:num>
  <w:num w:numId="70" w16cid:durableId="1792625350">
    <w:abstractNumId w:val="53"/>
  </w:num>
  <w:num w:numId="71" w16cid:durableId="260535045">
    <w:abstractNumId w:val="62"/>
  </w:num>
  <w:num w:numId="72" w16cid:durableId="268661599">
    <w:abstractNumId w:val="49"/>
  </w:num>
  <w:num w:numId="73" w16cid:durableId="1646659105">
    <w:abstractNumId w:val="51"/>
  </w:num>
  <w:num w:numId="74" w16cid:durableId="1409885193">
    <w:abstractNumId w:val="35"/>
  </w:num>
  <w:num w:numId="75" w16cid:durableId="1839226425">
    <w:abstractNumId w:val="50"/>
  </w:num>
  <w:num w:numId="76" w16cid:durableId="1242134063">
    <w:abstractNumId w:val="61"/>
  </w:num>
  <w:num w:numId="77" w16cid:durableId="1432050566">
    <w:abstractNumId w:val="34"/>
  </w:num>
  <w:num w:numId="78" w16cid:durableId="341781569">
    <w:abstractNumId w:val="65"/>
  </w:num>
  <w:num w:numId="79" w16cid:durableId="1341858612">
    <w:abstractNumId w:val="59"/>
  </w:num>
  <w:num w:numId="80" w16cid:durableId="805508104">
    <w:abstractNumId w:val="26"/>
  </w:num>
  <w:num w:numId="81" w16cid:durableId="1314485019">
    <w:abstractNumId w:val="13"/>
  </w:num>
  <w:num w:numId="82" w16cid:durableId="458760774">
    <w:abstractNumId w:val="24"/>
  </w:num>
  <w:num w:numId="83" w16cid:durableId="2114785315">
    <w:abstractNumId w:val="7"/>
  </w:num>
  <w:num w:numId="84" w16cid:durableId="1060978376">
    <w:abstractNumId w:val="37"/>
  </w:num>
  <w:num w:numId="85" w16cid:durableId="2140494641">
    <w:abstractNumId w:val="40"/>
  </w:num>
  <w:num w:numId="86" w16cid:durableId="579826210">
    <w:abstractNumId w:val="46"/>
  </w:num>
  <w:num w:numId="87" w16cid:durableId="51320431">
    <w:abstractNumId w:val="45"/>
  </w:num>
  <w:num w:numId="88" w16cid:durableId="1236470882">
    <w:abstractNumId w:val="16"/>
  </w:num>
  <w:num w:numId="89" w16cid:durableId="1836990593">
    <w:abstractNumId w:val="8"/>
  </w:num>
  <w:num w:numId="90" w16cid:durableId="1062096514">
    <w:abstractNumId w:val="41"/>
  </w:num>
  <w:num w:numId="91" w16cid:durableId="298388483">
    <w:abstractNumId w:val="6"/>
  </w:num>
  <w:num w:numId="92" w16cid:durableId="2067023783">
    <w:abstractNumId w:val="9"/>
  </w:num>
  <w:num w:numId="93" w16cid:durableId="157309093">
    <w:abstractNumId w:val="11"/>
  </w:num>
  <w:num w:numId="94" w16cid:durableId="1094204473">
    <w:abstractNumId w:val="43"/>
  </w:num>
  <w:num w:numId="95" w16cid:durableId="60719947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92"/>
    <w:rsid w:val="0004507F"/>
    <w:rsid w:val="000514FA"/>
    <w:rsid w:val="00057DEF"/>
    <w:rsid w:val="0006523B"/>
    <w:rsid w:val="00094D16"/>
    <w:rsid w:val="000A09FF"/>
    <w:rsid w:val="000C1729"/>
    <w:rsid w:val="00163D81"/>
    <w:rsid w:val="0018433E"/>
    <w:rsid w:val="00185C10"/>
    <w:rsid w:val="001A6B90"/>
    <w:rsid w:val="001D3717"/>
    <w:rsid w:val="001E1E26"/>
    <w:rsid w:val="00222FAC"/>
    <w:rsid w:val="00225DF0"/>
    <w:rsid w:val="00234B4A"/>
    <w:rsid w:val="002811F3"/>
    <w:rsid w:val="00287D33"/>
    <w:rsid w:val="002F2D60"/>
    <w:rsid w:val="002F3967"/>
    <w:rsid w:val="00300285"/>
    <w:rsid w:val="00307310"/>
    <w:rsid w:val="003166A5"/>
    <w:rsid w:val="00342DFD"/>
    <w:rsid w:val="00386907"/>
    <w:rsid w:val="003E5232"/>
    <w:rsid w:val="004008DF"/>
    <w:rsid w:val="00433C9D"/>
    <w:rsid w:val="0047354B"/>
    <w:rsid w:val="004A51A4"/>
    <w:rsid w:val="004C0940"/>
    <w:rsid w:val="004C1395"/>
    <w:rsid w:val="005072A2"/>
    <w:rsid w:val="00527C2A"/>
    <w:rsid w:val="00534D07"/>
    <w:rsid w:val="00553BF4"/>
    <w:rsid w:val="005A2747"/>
    <w:rsid w:val="005E22EB"/>
    <w:rsid w:val="005F06DF"/>
    <w:rsid w:val="00623F87"/>
    <w:rsid w:val="00637672"/>
    <w:rsid w:val="00692893"/>
    <w:rsid w:val="006B5529"/>
    <w:rsid w:val="006B5A7D"/>
    <w:rsid w:val="006D0499"/>
    <w:rsid w:val="006D123A"/>
    <w:rsid w:val="006E7DA6"/>
    <w:rsid w:val="00707FDE"/>
    <w:rsid w:val="007620C4"/>
    <w:rsid w:val="00791E90"/>
    <w:rsid w:val="007B11B9"/>
    <w:rsid w:val="007C1A91"/>
    <w:rsid w:val="007E1996"/>
    <w:rsid w:val="007E3C73"/>
    <w:rsid w:val="007E6C48"/>
    <w:rsid w:val="00801755"/>
    <w:rsid w:val="00816350"/>
    <w:rsid w:val="00856884"/>
    <w:rsid w:val="008C1AD5"/>
    <w:rsid w:val="0097602E"/>
    <w:rsid w:val="00A10FEA"/>
    <w:rsid w:val="00A12799"/>
    <w:rsid w:val="00A572DF"/>
    <w:rsid w:val="00A970B0"/>
    <w:rsid w:val="00AA35C7"/>
    <w:rsid w:val="00AA49CE"/>
    <w:rsid w:val="00AC5497"/>
    <w:rsid w:val="00B139A9"/>
    <w:rsid w:val="00B21641"/>
    <w:rsid w:val="00B42420"/>
    <w:rsid w:val="00B80F7F"/>
    <w:rsid w:val="00BD1891"/>
    <w:rsid w:val="00BD7726"/>
    <w:rsid w:val="00C820F0"/>
    <w:rsid w:val="00C93700"/>
    <w:rsid w:val="00CC18D4"/>
    <w:rsid w:val="00D16B74"/>
    <w:rsid w:val="00D3362A"/>
    <w:rsid w:val="00D41392"/>
    <w:rsid w:val="00D504EF"/>
    <w:rsid w:val="00D64A49"/>
    <w:rsid w:val="00D64E7A"/>
    <w:rsid w:val="00DA27D3"/>
    <w:rsid w:val="00DE05DF"/>
    <w:rsid w:val="00DF2770"/>
    <w:rsid w:val="00E01718"/>
    <w:rsid w:val="00E570A0"/>
    <w:rsid w:val="00EF27F7"/>
    <w:rsid w:val="00EF60F6"/>
    <w:rsid w:val="00F112C9"/>
    <w:rsid w:val="00F356F7"/>
    <w:rsid w:val="00FF1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6565"/>
  <w15:docId w15:val="{1F4DE834-4D0E-43C2-8253-847377B5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A3F7C"/>
    <w:rPr>
      <w:sz w:val="24"/>
      <w:szCs w:val="24"/>
    </w:rPr>
  </w:style>
  <w:style w:type="paragraph" w:styleId="NoSpacing">
    <w:name w:val="No Spacing"/>
    <w:uiPriority w:val="1"/>
    <w:qFormat/>
    <w:rsid w:val="00B42420"/>
  </w:style>
  <w:style w:type="character" w:styleId="SubtleEmphasis">
    <w:name w:val="Subtle Emphasis"/>
    <w:basedOn w:val="DefaultParagraphFont"/>
    <w:uiPriority w:val="19"/>
    <w:qFormat/>
    <w:rsid w:val="00DA27D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7260</Words>
  <Characters>41385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2</cp:revision>
  <dcterms:created xsi:type="dcterms:W3CDTF">2026-03-24T09:37:00Z</dcterms:created>
  <dcterms:modified xsi:type="dcterms:W3CDTF">2026-03-24T09:37:00Z</dcterms:modified>
</cp:coreProperties>
</file>