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CC91E" w14:textId="77777777" w:rsidR="00DA6D6F" w:rsidRPr="00DA6D6F" w:rsidRDefault="00DA6D6F" w:rsidP="00DA6D6F">
      <w:pPr>
        <w:bidi w:val="0"/>
        <w:ind w:left="720"/>
        <w:rPr>
          <w:rFonts w:asciiTheme="majorBidi" w:hAnsiTheme="majorBidi" w:cstheme="majorBidi"/>
          <w:b/>
          <w:bCs/>
          <w:sz w:val="24"/>
          <w:szCs w:val="24"/>
        </w:rPr>
      </w:pPr>
      <w:r w:rsidRPr="00DA6D6F">
        <w:rPr>
          <w:rFonts w:asciiTheme="majorBidi" w:hAnsiTheme="majorBidi" w:cstheme="majorBidi"/>
          <w:b/>
          <w:bCs/>
          <w:sz w:val="24"/>
          <w:szCs w:val="24"/>
        </w:rPr>
        <w:t>ISTRC Budget Plan</w:t>
      </w:r>
    </w:p>
    <w:p w14:paraId="221C51D3"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b/>
          <w:bCs/>
          <w:sz w:val="24"/>
          <w:szCs w:val="24"/>
        </w:rPr>
        <w:t>Requested budget:</w:t>
      </w:r>
      <w:r w:rsidRPr="00DA6D6F">
        <w:rPr>
          <w:rFonts w:asciiTheme="majorBidi" w:hAnsiTheme="majorBidi" w:cstheme="majorBidi"/>
          <w:sz w:val="24"/>
          <w:szCs w:val="24"/>
        </w:rPr>
        <w:t> 50,000 NIS</w:t>
      </w:r>
    </w:p>
    <w:p w14:paraId="3295EAA7" w14:textId="77777777" w:rsidR="00DA6D6F" w:rsidRPr="00DA6D6F" w:rsidRDefault="00DA6D6F" w:rsidP="00DA6D6F">
      <w:pPr>
        <w:bidi w:val="0"/>
        <w:ind w:left="720"/>
        <w:rPr>
          <w:rFonts w:asciiTheme="majorBidi" w:hAnsiTheme="majorBidi" w:cstheme="majorBidi"/>
          <w:b/>
          <w:bCs/>
          <w:sz w:val="24"/>
          <w:szCs w:val="24"/>
        </w:rPr>
      </w:pPr>
      <w:r w:rsidRPr="00DA6D6F">
        <w:rPr>
          <w:rFonts w:asciiTheme="majorBidi" w:hAnsiTheme="majorBidi" w:cstheme="majorBidi"/>
          <w:b/>
          <w:bCs/>
          <w:sz w:val="24"/>
          <w:szCs w:val="24"/>
        </w:rPr>
        <w:t>Proposed allocation</w:t>
      </w:r>
    </w:p>
    <w:tbl>
      <w:tblPr>
        <w:tblW w:w="9990" w:type="dxa"/>
        <w:tblCellMar>
          <w:top w:w="15" w:type="dxa"/>
          <w:left w:w="15" w:type="dxa"/>
          <w:bottom w:w="15" w:type="dxa"/>
          <w:right w:w="15" w:type="dxa"/>
        </w:tblCellMar>
        <w:tblLook w:val="04A0" w:firstRow="1" w:lastRow="0" w:firstColumn="1" w:lastColumn="0" w:noHBand="0" w:noVBand="1"/>
      </w:tblPr>
      <w:tblGrid>
        <w:gridCol w:w="3060"/>
        <w:gridCol w:w="1890"/>
        <w:gridCol w:w="5040"/>
      </w:tblGrid>
      <w:tr w:rsidR="00DA6D6F" w:rsidRPr="00DA6D6F" w14:paraId="6A0F6724" w14:textId="77777777" w:rsidTr="00D806E3">
        <w:trPr>
          <w:tblHeader/>
        </w:trPr>
        <w:tc>
          <w:tcPr>
            <w:tcW w:w="3060" w:type="dxa"/>
            <w:tcMar>
              <w:top w:w="75" w:type="dxa"/>
              <w:left w:w="150" w:type="dxa"/>
              <w:bottom w:w="75" w:type="dxa"/>
              <w:right w:w="150" w:type="dxa"/>
            </w:tcMar>
            <w:vAlign w:val="center"/>
            <w:hideMark/>
          </w:tcPr>
          <w:p w14:paraId="3C57E80D" w14:textId="77777777" w:rsidR="00DA6D6F" w:rsidRPr="00DA6D6F" w:rsidRDefault="00DA6D6F" w:rsidP="00DA6D6F">
            <w:pPr>
              <w:bidi w:val="0"/>
              <w:ind w:left="720"/>
              <w:rPr>
                <w:rFonts w:asciiTheme="majorBidi" w:hAnsiTheme="majorBidi" w:cstheme="majorBidi"/>
                <w:b/>
                <w:bCs/>
                <w:sz w:val="24"/>
                <w:szCs w:val="24"/>
              </w:rPr>
            </w:pPr>
            <w:r w:rsidRPr="00DA6D6F">
              <w:rPr>
                <w:rFonts w:asciiTheme="majorBidi" w:hAnsiTheme="majorBidi" w:cstheme="majorBidi"/>
                <w:b/>
                <w:bCs/>
                <w:sz w:val="24"/>
                <w:szCs w:val="24"/>
              </w:rPr>
              <w:t>Budget item</w:t>
            </w:r>
          </w:p>
        </w:tc>
        <w:tc>
          <w:tcPr>
            <w:tcW w:w="1890" w:type="dxa"/>
            <w:tcMar>
              <w:top w:w="75" w:type="dxa"/>
              <w:left w:w="150" w:type="dxa"/>
              <w:bottom w:w="75" w:type="dxa"/>
              <w:right w:w="150" w:type="dxa"/>
            </w:tcMar>
            <w:vAlign w:val="center"/>
            <w:hideMark/>
          </w:tcPr>
          <w:p w14:paraId="136E1D55" w14:textId="77777777" w:rsidR="00DA6D6F" w:rsidRPr="00DA6D6F" w:rsidRDefault="00DA6D6F" w:rsidP="00DA6D6F">
            <w:pPr>
              <w:bidi w:val="0"/>
              <w:ind w:left="720"/>
              <w:rPr>
                <w:rFonts w:asciiTheme="majorBidi" w:hAnsiTheme="majorBidi" w:cstheme="majorBidi"/>
                <w:b/>
                <w:bCs/>
                <w:sz w:val="24"/>
                <w:szCs w:val="24"/>
              </w:rPr>
            </w:pPr>
            <w:r w:rsidRPr="00DA6D6F">
              <w:rPr>
                <w:rFonts w:asciiTheme="majorBidi" w:hAnsiTheme="majorBidi" w:cstheme="majorBidi"/>
                <w:b/>
                <w:bCs/>
                <w:sz w:val="24"/>
                <w:szCs w:val="24"/>
              </w:rPr>
              <w:t>Amount (NIS)</w:t>
            </w:r>
          </w:p>
        </w:tc>
        <w:tc>
          <w:tcPr>
            <w:tcW w:w="5040" w:type="dxa"/>
            <w:tcMar>
              <w:top w:w="75" w:type="dxa"/>
              <w:left w:w="150" w:type="dxa"/>
              <w:bottom w:w="75" w:type="dxa"/>
              <w:right w:w="150" w:type="dxa"/>
            </w:tcMar>
            <w:vAlign w:val="center"/>
            <w:hideMark/>
          </w:tcPr>
          <w:p w14:paraId="0267FADB" w14:textId="77777777" w:rsidR="00DA6D6F" w:rsidRPr="00DA6D6F" w:rsidRDefault="00DA6D6F" w:rsidP="00DA6D6F">
            <w:pPr>
              <w:bidi w:val="0"/>
              <w:ind w:left="720"/>
              <w:rPr>
                <w:rFonts w:asciiTheme="majorBidi" w:hAnsiTheme="majorBidi" w:cstheme="majorBidi"/>
                <w:b/>
                <w:bCs/>
                <w:sz w:val="24"/>
                <w:szCs w:val="24"/>
              </w:rPr>
            </w:pPr>
            <w:r w:rsidRPr="00DA6D6F">
              <w:rPr>
                <w:rFonts w:asciiTheme="majorBidi" w:hAnsiTheme="majorBidi" w:cstheme="majorBidi"/>
                <w:b/>
                <w:bCs/>
                <w:sz w:val="24"/>
                <w:szCs w:val="24"/>
              </w:rPr>
              <w:t>Purpose</w:t>
            </w:r>
          </w:p>
        </w:tc>
      </w:tr>
      <w:tr w:rsidR="00DA6D6F" w:rsidRPr="00DA6D6F" w14:paraId="7007B8AE" w14:textId="77777777" w:rsidTr="00D806E3">
        <w:tc>
          <w:tcPr>
            <w:tcW w:w="3060" w:type="dxa"/>
            <w:tcMar>
              <w:top w:w="75" w:type="dxa"/>
              <w:left w:w="150" w:type="dxa"/>
              <w:bottom w:w="75" w:type="dxa"/>
              <w:right w:w="150" w:type="dxa"/>
            </w:tcMar>
            <w:vAlign w:val="center"/>
            <w:hideMark/>
          </w:tcPr>
          <w:p w14:paraId="6BF4CA23"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Presentation / video / visual policy communication</w:t>
            </w:r>
          </w:p>
        </w:tc>
        <w:tc>
          <w:tcPr>
            <w:tcW w:w="1890" w:type="dxa"/>
            <w:tcMar>
              <w:top w:w="75" w:type="dxa"/>
              <w:left w:w="150" w:type="dxa"/>
              <w:bottom w:w="75" w:type="dxa"/>
              <w:right w:w="150" w:type="dxa"/>
            </w:tcMar>
            <w:vAlign w:val="center"/>
            <w:hideMark/>
          </w:tcPr>
          <w:p w14:paraId="28FB8D70"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10,000</w:t>
            </w:r>
          </w:p>
        </w:tc>
        <w:tc>
          <w:tcPr>
            <w:tcW w:w="5040" w:type="dxa"/>
            <w:tcMar>
              <w:top w:w="75" w:type="dxa"/>
              <w:left w:w="150" w:type="dxa"/>
              <w:bottom w:w="75" w:type="dxa"/>
              <w:right w:w="150" w:type="dxa"/>
            </w:tcMar>
            <w:vAlign w:val="center"/>
            <w:hideMark/>
          </w:tcPr>
          <w:p w14:paraId="556DCABE"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Preparation of the final policy presentation and/or short video product, including adaptation for non-academic audiences</w:t>
            </w:r>
          </w:p>
        </w:tc>
      </w:tr>
      <w:tr w:rsidR="00DA6D6F" w:rsidRPr="00DA6D6F" w14:paraId="32D813B4" w14:textId="77777777" w:rsidTr="00D806E3">
        <w:tc>
          <w:tcPr>
            <w:tcW w:w="3060" w:type="dxa"/>
            <w:tcMar>
              <w:top w:w="75" w:type="dxa"/>
              <w:left w:w="150" w:type="dxa"/>
              <w:bottom w:w="75" w:type="dxa"/>
              <w:right w:w="150" w:type="dxa"/>
            </w:tcMar>
            <w:vAlign w:val="center"/>
            <w:hideMark/>
          </w:tcPr>
          <w:p w14:paraId="7344ED5C"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Research assistance and policy-oriented analytical synthesis</w:t>
            </w:r>
          </w:p>
        </w:tc>
        <w:tc>
          <w:tcPr>
            <w:tcW w:w="1890" w:type="dxa"/>
            <w:tcMar>
              <w:top w:w="75" w:type="dxa"/>
              <w:left w:w="150" w:type="dxa"/>
              <w:bottom w:w="75" w:type="dxa"/>
              <w:right w:w="150" w:type="dxa"/>
            </w:tcMar>
            <w:vAlign w:val="center"/>
            <w:hideMark/>
          </w:tcPr>
          <w:p w14:paraId="3652CFE5"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15,000</w:t>
            </w:r>
          </w:p>
        </w:tc>
        <w:tc>
          <w:tcPr>
            <w:tcW w:w="5040" w:type="dxa"/>
            <w:tcMar>
              <w:top w:w="75" w:type="dxa"/>
              <w:left w:w="150" w:type="dxa"/>
              <w:bottom w:w="75" w:type="dxa"/>
              <w:right w:w="150" w:type="dxa"/>
            </w:tcMar>
            <w:vAlign w:val="center"/>
            <w:hideMark/>
          </w:tcPr>
          <w:p w14:paraId="21FE4635"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Research support for literature synthesis, source review, comparative framing, drafting support, and consolidation of policy findings</w:t>
            </w:r>
          </w:p>
        </w:tc>
      </w:tr>
      <w:tr w:rsidR="00DA6D6F" w:rsidRPr="00DA6D6F" w14:paraId="254FC62A" w14:textId="77777777" w:rsidTr="00D806E3">
        <w:tc>
          <w:tcPr>
            <w:tcW w:w="3060" w:type="dxa"/>
            <w:tcMar>
              <w:top w:w="75" w:type="dxa"/>
              <w:left w:w="150" w:type="dxa"/>
              <w:bottom w:w="75" w:type="dxa"/>
              <w:right w:w="150" w:type="dxa"/>
            </w:tcMar>
            <w:vAlign w:val="center"/>
            <w:hideMark/>
          </w:tcPr>
          <w:p w14:paraId="2678BFED"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Data preparation, GIS refinement, and figure production</w:t>
            </w:r>
          </w:p>
        </w:tc>
        <w:tc>
          <w:tcPr>
            <w:tcW w:w="1890" w:type="dxa"/>
            <w:tcMar>
              <w:top w:w="75" w:type="dxa"/>
              <w:left w:w="150" w:type="dxa"/>
              <w:bottom w:w="75" w:type="dxa"/>
              <w:right w:w="150" w:type="dxa"/>
            </w:tcMar>
            <w:vAlign w:val="center"/>
            <w:hideMark/>
          </w:tcPr>
          <w:p w14:paraId="0167B148"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8,000</w:t>
            </w:r>
          </w:p>
        </w:tc>
        <w:tc>
          <w:tcPr>
            <w:tcW w:w="5040" w:type="dxa"/>
            <w:tcMar>
              <w:top w:w="75" w:type="dxa"/>
              <w:left w:w="150" w:type="dxa"/>
              <w:bottom w:w="75" w:type="dxa"/>
              <w:right w:w="150" w:type="dxa"/>
            </w:tcMar>
            <w:vAlign w:val="center"/>
            <w:hideMark/>
          </w:tcPr>
          <w:p w14:paraId="0208C3E4"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Preparation of policy-ready maps, charts, figures, and refined spatial outputs for the white paper</w:t>
            </w:r>
          </w:p>
        </w:tc>
      </w:tr>
      <w:tr w:rsidR="00DA6D6F" w:rsidRPr="00DA6D6F" w14:paraId="18482599" w14:textId="77777777" w:rsidTr="00D806E3">
        <w:tc>
          <w:tcPr>
            <w:tcW w:w="3060" w:type="dxa"/>
            <w:tcMar>
              <w:top w:w="75" w:type="dxa"/>
              <w:left w:w="150" w:type="dxa"/>
              <w:bottom w:w="75" w:type="dxa"/>
              <w:right w:w="150" w:type="dxa"/>
            </w:tcMar>
            <w:vAlign w:val="center"/>
            <w:hideMark/>
          </w:tcPr>
          <w:p w14:paraId="0072116A"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Editing, language polishing, formatting, and references</w:t>
            </w:r>
          </w:p>
        </w:tc>
        <w:tc>
          <w:tcPr>
            <w:tcW w:w="1890" w:type="dxa"/>
            <w:tcMar>
              <w:top w:w="75" w:type="dxa"/>
              <w:left w:w="150" w:type="dxa"/>
              <w:bottom w:w="75" w:type="dxa"/>
              <w:right w:w="150" w:type="dxa"/>
            </w:tcMar>
            <w:vAlign w:val="center"/>
            <w:hideMark/>
          </w:tcPr>
          <w:p w14:paraId="3312B3A9"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5,000</w:t>
            </w:r>
          </w:p>
        </w:tc>
        <w:tc>
          <w:tcPr>
            <w:tcW w:w="5040" w:type="dxa"/>
            <w:tcMar>
              <w:top w:w="75" w:type="dxa"/>
              <w:left w:w="150" w:type="dxa"/>
              <w:bottom w:w="75" w:type="dxa"/>
              <w:right w:w="150" w:type="dxa"/>
            </w:tcMar>
            <w:vAlign w:val="center"/>
            <w:hideMark/>
          </w:tcPr>
          <w:p w14:paraId="6F8339AA"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English editing, document preparation, reference organization, and submission-ready formatting</w:t>
            </w:r>
          </w:p>
        </w:tc>
      </w:tr>
      <w:tr w:rsidR="00DA6D6F" w:rsidRPr="00DA6D6F" w14:paraId="31F716D1" w14:textId="77777777" w:rsidTr="00D806E3">
        <w:tc>
          <w:tcPr>
            <w:tcW w:w="3060" w:type="dxa"/>
            <w:tcMar>
              <w:top w:w="75" w:type="dxa"/>
              <w:left w:w="150" w:type="dxa"/>
              <w:bottom w:w="75" w:type="dxa"/>
              <w:right w:w="150" w:type="dxa"/>
            </w:tcMar>
            <w:vAlign w:val="center"/>
            <w:hideMark/>
          </w:tcPr>
          <w:p w14:paraId="22D7155B"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Hebrew executive summary and policy adaptation</w:t>
            </w:r>
          </w:p>
        </w:tc>
        <w:tc>
          <w:tcPr>
            <w:tcW w:w="1890" w:type="dxa"/>
            <w:tcMar>
              <w:top w:w="75" w:type="dxa"/>
              <w:left w:w="150" w:type="dxa"/>
              <w:bottom w:w="75" w:type="dxa"/>
              <w:right w:w="150" w:type="dxa"/>
            </w:tcMar>
            <w:vAlign w:val="center"/>
            <w:hideMark/>
          </w:tcPr>
          <w:p w14:paraId="305B156F"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2,000</w:t>
            </w:r>
          </w:p>
        </w:tc>
        <w:tc>
          <w:tcPr>
            <w:tcW w:w="5040" w:type="dxa"/>
            <w:tcMar>
              <w:top w:w="75" w:type="dxa"/>
              <w:left w:w="150" w:type="dxa"/>
              <w:bottom w:w="75" w:type="dxa"/>
              <w:right w:w="150" w:type="dxa"/>
            </w:tcMar>
            <w:vAlign w:val="center"/>
            <w:hideMark/>
          </w:tcPr>
          <w:p w14:paraId="315200D7"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Preparation of the required Hebrew summary and adaptation of key messages for decision-makers</w:t>
            </w:r>
          </w:p>
        </w:tc>
      </w:tr>
      <w:tr w:rsidR="00DA6D6F" w:rsidRPr="00DA6D6F" w14:paraId="695EC1FE" w14:textId="77777777" w:rsidTr="00D806E3">
        <w:tc>
          <w:tcPr>
            <w:tcW w:w="3060" w:type="dxa"/>
            <w:tcMar>
              <w:top w:w="75" w:type="dxa"/>
              <w:left w:w="150" w:type="dxa"/>
              <w:bottom w:w="75" w:type="dxa"/>
              <w:right w:w="150" w:type="dxa"/>
            </w:tcMar>
            <w:vAlign w:val="center"/>
            <w:hideMark/>
          </w:tcPr>
          <w:p w14:paraId="6F331A2D"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Stakeholder consultation and final revision reserve</w:t>
            </w:r>
          </w:p>
        </w:tc>
        <w:tc>
          <w:tcPr>
            <w:tcW w:w="1890" w:type="dxa"/>
            <w:tcMar>
              <w:top w:w="75" w:type="dxa"/>
              <w:left w:w="150" w:type="dxa"/>
              <w:bottom w:w="75" w:type="dxa"/>
              <w:right w:w="150" w:type="dxa"/>
            </w:tcMar>
            <w:vAlign w:val="center"/>
            <w:hideMark/>
          </w:tcPr>
          <w:p w14:paraId="168030C7"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5,000</w:t>
            </w:r>
          </w:p>
        </w:tc>
        <w:tc>
          <w:tcPr>
            <w:tcW w:w="5040" w:type="dxa"/>
            <w:tcMar>
              <w:top w:w="75" w:type="dxa"/>
              <w:left w:w="150" w:type="dxa"/>
              <w:bottom w:w="75" w:type="dxa"/>
              <w:right w:w="150" w:type="dxa"/>
            </w:tcMar>
            <w:vAlign w:val="center"/>
            <w:hideMark/>
          </w:tcPr>
          <w:p w14:paraId="4EDC02A8"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Feedback incorporation, targeted revisions, and limited final analytical refinement</w:t>
            </w:r>
          </w:p>
        </w:tc>
      </w:tr>
      <w:tr w:rsidR="00DA6D6F" w:rsidRPr="00DA6D6F" w14:paraId="1D161C4B" w14:textId="77777777" w:rsidTr="00D806E3">
        <w:tc>
          <w:tcPr>
            <w:tcW w:w="3060" w:type="dxa"/>
            <w:tcMar>
              <w:top w:w="75" w:type="dxa"/>
              <w:left w:w="150" w:type="dxa"/>
              <w:bottom w:w="75" w:type="dxa"/>
              <w:right w:w="150" w:type="dxa"/>
            </w:tcMar>
            <w:vAlign w:val="center"/>
            <w:hideMark/>
          </w:tcPr>
          <w:p w14:paraId="73451ABE"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Institutional overhead (10%)</w:t>
            </w:r>
          </w:p>
        </w:tc>
        <w:tc>
          <w:tcPr>
            <w:tcW w:w="1890" w:type="dxa"/>
            <w:tcMar>
              <w:top w:w="75" w:type="dxa"/>
              <w:left w:w="150" w:type="dxa"/>
              <w:bottom w:w="75" w:type="dxa"/>
              <w:right w:w="150" w:type="dxa"/>
            </w:tcMar>
            <w:vAlign w:val="center"/>
            <w:hideMark/>
          </w:tcPr>
          <w:p w14:paraId="3D1FD353"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5,000</w:t>
            </w:r>
          </w:p>
        </w:tc>
        <w:tc>
          <w:tcPr>
            <w:tcW w:w="5040" w:type="dxa"/>
            <w:tcMar>
              <w:top w:w="75" w:type="dxa"/>
              <w:left w:w="150" w:type="dxa"/>
              <w:bottom w:w="75" w:type="dxa"/>
              <w:right w:w="150" w:type="dxa"/>
            </w:tcMar>
            <w:vAlign w:val="center"/>
            <w:hideMark/>
          </w:tcPr>
          <w:p w14:paraId="08FAEB00"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Institutional overhead as indicated in correspondence with HIT Research Authority</w:t>
            </w:r>
          </w:p>
        </w:tc>
      </w:tr>
      <w:tr w:rsidR="00DA6D6F" w:rsidRPr="00DA6D6F" w14:paraId="2156AFA4" w14:textId="77777777" w:rsidTr="00D806E3">
        <w:tc>
          <w:tcPr>
            <w:tcW w:w="3060" w:type="dxa"/>
            <w:tcMar>
              <w:top w:w="75" w:type="dxa"/>
              <w:left w:w="150" w:type="dxa"/>
              <w:bottom w:w="75" w:type="dxa"/>
              <w:right w:w="150" w:type="dxa"/>
            </w:tcMar>
            <w:vAlign w:val="center"/>
            <w:hideMark/>
          </w:tcPr>
          <w:p w14:paraId="7448330C"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b/>
                <w:bCs/>
                <w:sz w:val="24"/>
                <w:szCs w:val="24"/>
              </w:rPr>
              <w:t>Total</w:t>
            </w:r>
          </w:p>
        </w:tc>
        <w:tc>
          <w:tcPr>
            <w:tcW w:w="1890" w:type="dxa"/>
            <w:tcMar>
              <w:top w:w="75" w:type="dxa"/>
              <w:left w:w="150" w:type="dxa"/>
              <w:bottom w:w="75" w:type="dxa"/>
              <w:right w:w="150" w:type="dxa"/>
            </w:tcMar>
            <w:vAlign w:val="center"/>
            <w:hideMark/>
          </w:tcPr>
          <w:p w14:paraId="10DB5058"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b/>
                <w:bCs/>
                <w:sz w:val="24"/>
                <w:szCs w:val="24"/>
              </w:rPr>
              <w:t>50,000</w:t>
            </w:r>
          </w:p>
        </w:tc>
        <w:tc>
          <w:tcPr>
            <w:tcW w:w="5040" w:type="dxa"/>
            <w:tcMar>
              <w:top w:w="75" w:type="dxa"/>
              <w:left w:w="150" w:type="dxa"/>
              <w:bottom w:w="75" w:type="dxa"/>
              <w:right w:w="150" w:type="dxa"/>
            </w:tcMar>
            <w:vAlign w:val="center"/>
            <w:hideMark/>
          </w:tcPr>
          <w:p w14:paraId="48A5F28C" w14:textId="77777777" w:rsidR="00DA6D6F" w:rsidRPr="00DA6D6F" w:rsidRDefault="00DA6D6F" w:rsidP="00DA6D6F">
            <w:pPr>
              <w:bidi w:val="0"/>
              <w:ind w:left="720"/>
              <w:rPr>
                <w:rFonts w:asciiTheme="majorBidi" w:hAnsiTheme="majorBidi" w:cstheme="majorBidi"/>
                <w:sz w:val="24"/>
                <w:szCs w:val="24"/>
              </w:rPr>
            </w:pPr>
          </w:p>
        </w:tc>
      </w:tr>
    </w:tbl>
    <w:p w14:paraId="159CE4B2" w14:textId="77777777" w:rsidR="00DA6D6F" w:rsidRPr="00DA6D6F" w:rsidRDefault="00DA6D6F" w:rsidP="00DA6D6F">
      <w:pPr>
        <w:bidi w:val="0"/>
        <w:ind w:left="720"/>
        <w:rPr>
          <w:rFonts w:asciiTheme="majorBidi" w:hAnsiTheme="majorBidi" w:cstheme="majorBidi"/>
          <w:b/>
          <w:bCs/>
          <w:sz w:val="24"/>
          <w:szCs w:val="24"/>
        </w:rPr>
      </w:pPr>
      <w:r w:rsidRPr="00DA6D6F">
        <w:rPr>
          <w:rFonts w:asciiTheme="majorBidi" w:hAnsiTheme="majorBidi" w:cstheme="majorBidi"/>
          <w:b/>
          <w:bCs/>
          <w:sz w:val="24"/>
          <w:szCs w:val="24"/>
        </w:rPr>
        <w:t>Short justification</w:t>
      </w:r>
    </w:p>
    <w:p w14:paraId="3EFE4A65"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t>The proposed allocation matches the goals of the ISTRC call and the administrative guidance received from HIT. The budget is framed as support for research synthesis, policy analysis, writing, visualization, and dissemination of the white paper. It does </w:t>
      </w:r>
      <w:r w:rsidRPr="00DA6D6F">
        <w:rPr>
          <w:rFonts w:asciiTheme="majorBidi" w:hAnsiTheme="majorBidi" w:cstheme="majorBidi"/>
          <w:b/>
          <w:bCs/>
          <w:sz w:val="24"/>
          <w:szCs w:val="24"/>
        </w:rPr>
        <w:t>not</w:t>
      </w:r>
      <w:r w:rsidRPr="00DA6D6F">
        <w:rPr>
          <w:rFonts w:asciiTheme="majorBidi" w:hAnsiTheme="majorBidi" w:cstheme="majorBidi"/>
          <w:sz w:val="24"/>
          <w:szCs w:val="24"/>
        </w:rPr>
        <w:t> include salary support for faculty and does </w:t>
      </w:r>
      <w:r w:rsidRPr="00DA6D6F">
        <w:rPr>
          <w:rFonts w:asciiTheme="majorBidi" w:hAnsiTheme="majorBidi" w:cstheme="majorBidi"/>
          <w:b/>
          <w:bCs/>
          <w:sz w:val="24"/>
          <w:szCs w:val="24"/>
        </w:rPr>
        <w:t>not</w:t>
      </w:r>
      <w:r w:rsidRPr="00DA6D6F">
        <w:rPr>
          <w:rFonts w:asciiTheme="majorBidi" w:hAnsiTheme="majorBidi" w:cstheme="majorBidi"/>
          <w:sz w:val="24"/>
          <w:szCs w:val="24"/>
        </w:rPr>
        <w:t> frame the work as software development.</w:t>
      </w:r>
    </w:p>
    <w:p w14:paraId="3C78D457" w14:textId="77777777" w:rsidR="00DA6D6F" w:rsidRPr="00DA6D6F" w:rsidRDefault="00DA6D6F" w:rsidP="00DA6D6F">
      <w:pPr>
        <w:bidi w:val="0"/>
        <w:ind w:left="720"/>
        <w:rPr>
          <w:rFonts w:asciiTheme="majorBidi" w:hAnsiTheme="majorBidi" w:cstheme="majorBidi"/>
          <w:sz w:val="24"/>
          <w:szCs w:val="24"/>
        </w:rPr>
      </w:pPr>
      <w:r w:rsidRPr="00DA6D6F">
        <w:rPr>
          <w:rFonts w:asciiTheme="majorBidi" w:hAnsiTheme="majorBidi" w:cstheme="majorBidi"/>
          <w:sz w:val="24"/>
          <w:szCs w:val="24"/>
        </w:rPr>
        <w:lastRenderedPageBreak/>
        <w:t xml:space="preserve">The recommended 10,000 NIS for presentation/video output is retained explicitly. The remaining direct costs are directed toward converting an existing research base into </w:t>
      </w:r>
      <w:proofErr w:type="gramStart"/>
      <w:r w:rsidRPr="00DA6D6F">
        <w:rPr>
          <w:rFonts w:asciiTheme="majorBidi" w:hAnsiTheme="majorBidi" w:cstheme="majorBidi"/>
          <w:sz w:val="24"/>
          <w:szCs w:val="24"/>
        </w:rPr>
        <w:t>a policy</w:t>
      </w:r>
      <w:proofErr w:type="gramEnd"/>
      <w:r w:rsidRPr="00DA6D6F">
        <w:rPr>
          <w:rFonts w:asciiTheme="majorBidi" w:hAnsiTheme="majorBidi" w:cstheme="majorBidi"/>
          <w:sz w:val="24"/>
          <w:szCs w:val="24"/>
        </w:rPr>
        <w:t>-oriented white paper and supporting materials. The final 5,000 NIS is reserved for the 10% institutional overhead noted in the correspondence.</w:t>
      </w:r>
    </w:p>
    <w:p w14:paraId="0276EAAC" w14:textId="77777777" w:rsidR="00DA6D6F" w:rsidRPr="00DA6D6F" w:rsidRDefault="00DA6D6F" w:rsidP="00DA6D6F">
      <w:pPr>
        <w:bidi w:val="0"/>
        <w:ind w:left="720"/>
        <w:rPr>
          <w:rFonts w:asciiTheme="majorBidi" w:hAnsiTheme="majorBidi" w:cstheme="majorBidi"/>
          <w:b/>
          <w:bCs/>
          <w:sz w:val="24"/>
          <w:szCs w:val="24"/>
        </w:rPr>
      </w:pPr>
      <w:r w:rsidRPr="00DA6D6F">
        <w:rPr>
          <w:rFonts w:asciiTheme="majorBidi" w:hAnsiTheme="majorBidi" w:cstheme="majorBidi"/>
          <w:b/>
          <w:bCs/>
          <w:sz w:val="24"/>
          <w:szCs w:val="24"/>
        </w:rPr>
        <w:t>Practical framing for submission</w:t>
      </w:r>
    </w:p>
    <w:p w14:paraId="27156C87" w14:textId="77777777" w:rsidR="00DA6D6F" w:rsidRPr="00DA6D6F" w:rsidRDefault="00DA6D6F" w:rsidP="00DA6D6F">
      <w:pPr>
        <w:numPr>
          <w:ilvl w:val="0"/>
          <w:numId w:val="5"/>
        </w:numPr>
        <w:bidi w:val="0"/>
        <w:rPr>
          <w:rFonts w:asciiTheme="majorBidi" w:hAnsiTheme="majorBidi" w:cstheme="majorBidi"/>
          <w:sz w:val="24"/>
          <w:szCs w:val="24"/>
        </w:rPr>
      </w:pPr>
      <w:r w:rsidRPr="00DA6D6F">
        <w:rPr>
          <w:rFonts w:asciiTheme="majorBidi" w:hAnsiTheme="majorBidi" w:cstheme="majorBidi"/>
          <w:sz w:val="24"/>
          <w:szCs w:val="24"/>
        </w:rPr>
        <w:t>Emphasize research synthesis, policy analysis, writing, visualization, and dissemination.</w:t>
      </w:r>
    </w:p>
    <w:p w14:paraId="7BF138AE" w14:textId="77777777" w:rsidR="00DA6D6F" w:rsidRPr="00DA6D6F" w:rsidRDefault="00DA6D6F" w:rsidP="00DA6D6F">
      <w:pPr>
        <w:numPr>
          <w:ilvl w:val="0"/>
          <w:numId w:val="5"/>
        </w:numPr>
        <w:bidi w:val="0"/>
        <w:rPr>
          <w:rFonts w:asciiTheme="majorBidi" w:hAnsiTheme="majorBidi" w:cstheme="majorBidi"/>
          <w:sz w:val="24"/>
          <w:szCs w:val="24"/>
        </w:rPr>
      </w:pPr>
      <w:r w:rsidRPr="00DA6D6F">
        <w:rPr>
          <w:rFonts w:asciiTheme="majorBidi" w:hAnsiTheme="majorBidi" w:cstheme="majorBidi"/>
          <w:sz w:val="24"/>
          <w:szCs w:val="24"/>
        </w:rPr>
        <w:t>Keep the 10,000 NIS presentation/video line explicit, in line with the call.</w:t>
      </w:r>
    </w:p>
    <w:p w14:paraId="7018608C" w14:textId="77777777" w:rsidR="00DA6D6F" w:rsidRPr="00DA6D6F" w:rsidRDefault="00DA6D6F" w:rsidP="00DA6D6F">
      <w:pPr>
        <w:numPr>
          <w:ilvl w:val="0"/>
          <w:numId w:val="5"/>
        </w:numPr>
        <w:bidi w:val="0"/>
        <w:rPr>
          <w:rFonts w:asciiTheme="majorBidi" w:hAnsiTheme="majorBidi" w:cstheme="majorBidi"/>
          <w:sz w:val="24"/>
          <w:szCs w:val="24"/>
        </w:rPr>
      </w:pPr>
      <w:r w:rsidRPr="00DA6D6F">
        <w:rPr>
          <w:rFonts w:asciiTheme="majorBidi" w:hAnsiTheme="majorBidi" w:cstheme="majorBidi"/>
          <w:sz w:val="24"/>
          <w:szCs w:val="24"/>
        </w:rPr>
        <w:t>Include institutional overhead (10%) as a separate line item.</w:t>
      </w:r>
    </w:p>
    <w:p w14:paraId="723CC614" w14:textId="77777777" w:rsidR="00DA6D6F" w:rsidRPr="00DA6D6F" w:rsidRDefault="00DA6D6F" w:rsidP="00DA6D6F">
      <w:pPr>
        <w:numPr>
          <w:ilvl w:val="0"/>
          <w:numId w:val="5"/>
        </w:numPr>
        <w:bidi w:val="0"/>
        <w:rPr>
          <w:rFonts w:asciiTheme="majorBidi" w:hAnsiTheme="majorBidi" w:cstheme="majorBidi"/>
          <w:sz w:val="24"/>
          <w:szCs w:val="24"/>
        </w:rPr>
      </w:pPr>
      <w:r w:rsidRPr="00DA6D6F">
        <w:rPr>
          <w:rFonts w:asciiTheme="majorBidi" w:hAnsiTheme="majorBidi" w:cstheme="majorBidi"/>
          <w:sz w:val="24"/>
          <w:szCs w:val="24"/>
        </w:rPr>
        <w:t>Avoid wording that suggests faculty salary support or a technology build budget.</w:t>
      </w:r>
    </w:p>
    <w:p w14:paraId="5C19C066" w14:textId="42F82E83" w:rsidR="00032072" w:rsidRPr="00F63476" w:rsidRDefault="00032072" w:rsidP="00F63476">
      <w:pPr>
        <w:bidi w:val="0"/>
        <w:ind w:left="720"/>
        <w:rPr>
          <w:rFonts w:asciiTheme="majorBidi" w:hAnsiTheme="majorBidi" w:cstheme="majorBidi"/>
          <w:sz w:val="24"/>
          <w:szCs w:val="24"/>
        </w:rPr>
      </w:pPr>
    </w:p>
    <w:sectPr w:rsidR="00032072" w:rsidRPr="00F63476" w:rsidSect="007B6604">
      <w:pgSz w:w="11906" w:h="16838"/>
      <w:pgMar w:top="1440" w:right="1080" w:bottom="1440" w:left="108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D3C6B79"/>
    <w:multiLevelType w:val="multilevel"/>
    <w:tmpl w:val="8ECA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6701B"/>
    <w:multiLevelType w:val="multilevel"/>
    <w:tmpl w:val="F938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AD06C3"/>
    <w:multiLevelType w:val="multilevel"/>
    <w:tmpl w:val="0ADC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7A513D"/>
    <w:multiLevelType w:val="multilevel"/>
    <w:tmpl w:val="B200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142AA7"/>
    <w:multiLevelType w:val="multilevel"/>
    <w:tmpl w:val="2310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056531">
    <w:abstractNumId w:val="4"/>
  </w:num>
  <w:num w:numId="2" w16cid:durableId="185759188">
    <w:abstractNumId w:val="1"/>
  </w:num>
  <w:num w:numId="3" w16cid:durableId="598023462">
    <w:abstractNumId w:val="0"/>
  </w:num>
  <w:num w:numId="4" w16cid:durableId="1938639135">
    <w:abstractNumId w:val="2"/>
  </w:num>
  <w:num w:numId="5" w16cid:durableId="3184626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604"/>
    <w:rsid w:val="00032072"/>
    <w:rsid w:val="001E04EE"/>
    <w:rsid w:val="00323936"/>
    <w:rsid w:val="00343CB8"/>
    <w:rsid w:val="00350F30"/>
    <w:rsid w:val="007B6604"/>
    <w:rsid w:val="008B3D79"/>
    <w:rsid w:val="00954514"/>
    <w:rsid w:val="00A81E7B"/>
    <w:rsid w:val="00BB7BD0"/>
    <w:rsid w:val="00D806E3"/>
    <w:rsid w:val="00DA6D6F"/>
    <w:rsid w:val="00E71287"/>
    <w:rsid w:val="00F634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C54EC"/>
  <w15:chartTrackingRefBased/>
  <w15:docId w15:val="{B9304F5D-9406-460C-A869-6A702EB7B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7B6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604"/>
    <w:rPr>
      <w:rFonts w:eastAsiaTheme="majorEastAsia" w:cstheme="majorBidi"/>
      <w:color w:val="272727" w:themeColor="text1" w:themeTint="D8"/>
    </w:rPr>
  </w:style>
  <w:style w:type="paragraph" w:styleId="Title">
    <w:name w:val="Title"/>
    <w:basedOn w:val="Normal"/>
    <w:next w:val="Normal"/>
    <w:link w:val="TitleChar"/>
    <w:uiPriority w:val="10"/>
    <w:qFormat/>
    <w:rsid w:val="007B6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604"/>
    <w:pPr>
      <w:spacing w:before="160"/>
      <w:jc w:val="center"/>
    </w:pPr>
    <w:rPr>
      <w:i/>
      <w:iCs/>
      <w:color w:val="404040" w:themeColor="text1" w:themeTint="BF"/>
    </w:rPr>
  </w:style>
  <w:style w:type="character" w:customStyle="1" w:styleId="QuoteChar">
    <w:name w:val="Quote Char"/>
    <w:basedOn w:val="DefaultParagraphFont"/>
    <w:link w:val="Quote"/>
    <w:uiPriority w:val="29"/>
    <w:rsid w:val="007B6604"/>
    <w:rPr>
      <w:i/>
      <w:iCs/>
      <w:color w:val="404040" w:themeColor="text1" w:themeTint="BF"/>
    </w:rPr>
  </w:style>
  <w:style w:type="paragraph" w:styleId="ListParagraph">
    <w:name w:val="List Paragraph"/>
    <w:basedOn w:val="Normal"/>
    <w:uiPriority w:val="34"/>
    <w:qFormat/>
    <w:rsid w:val="007B6604"/>
    <w:pPr>
      <w:ind w:left="720"/>
      <w:contextualSpacing/>
    </w:pPr>
  </w:style>
  <w:style w:type="character" w:styleId="IntenseEmphasis">
    <w:name w:val="Intense Emphasis"/>
    <w:basedOn w:val="DefaultParagraphFont"/>
    <w:uiPriority w:val="21"/>
    <w:qFormat/>
    <w:rsid w:val="007B6604"/>
    <w:rPr>
      <w:i/>
      <w:iCs/>
      <w:color w:val="0F4761" w:themeColor="accent1" w:themeShade="BF"/>
    </w:rPr>
  </w:style>
  <w:style w:type="paragraph" w:styleId="IntenseQuote">
    <w:name w:val="Intense Quote"/>
    <w:basedOn w:val="Normal"/>
    <w:next w:val="Normal"/>
    <w:link w:val="IntenseQuoteChar"/>
    <w:uiPriority w:val="30"/>
    <w:qFormat/>
    <w:rsid w:val="007B6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604"/>
    <w:rPr>
      <w:i/>
      <w:iCs/>
      <w:color w:val="0F4761" w:themeColor="accent1" w:themeShade="BF"/>
    </w:rPr>
  </w:style>
  <w:style w:type="character" w:styleId="IntenseReference">
    <w:name w:val="Intense Reference"/>
    <w:basedOn w:val="DefaultParagraphFont"/>
    <w:uiPriority w:val="32"/>
    <w:qFormat/>
    <w:rsid w:val="007B6604"/>
    <w:rPr>
      <w:b/>
      <w:bCs/>
      <w:smallCaps/>
      <w:color w:val="0F4761" w:themeColor="accent1" w:themeShade="BF"/>
      <w:spacing w:val="5"/>
    </w:rPr>
  </w:style>
  <w:style w:type="character" w:styleId="Hyperlink">
    <w:name w:val="Hyperlink"/>
    <w:basedOn w:val="DefaultParagraphFont"/>
    <w:uiPriority w:val="99"/>
    <w:unhideWhenUsed/>
    <w:rsid w:val="00A81E7B"/>
    <w:rPr>
      <w:color w:val="467886" w:themeColor="hyperlink"/>
      <w:u w:val="single"/>
    </w:rPr>
  </w:style>
  <w:style w:type="character" w:styleId="UnresolvedMention">
    <w:name w:val="Unresolved Mention"/>
    <w:basedOn w:val="DefaultParagraphFont"/>
    <w:uiPriority w:val="99"/>
    <w:semiHidden/>
    <w:unhideWhenUsed/>
    <w:rsid w:val="00A81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337</Words>
  <Characters>1923</Characters>
  <Application>Microsoft Office Word</Application>
  <DocSecurity>0</DocSecurity>
  <Lines>16</Lines>
  <Paragraphs>4</Paragraphs>
  <ScaleCrop>false</ScaleCrop>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Garmash</dc:creator>
  <cp:keywords/>
  <dc:description/>
  <cp:lastModifiedBy>Nina Garmash</cp:lastModifiedBy>
  <cp:revision>7</cp:revision>
  <dcterms:created xsi:type="dcterms:W3CDTF">2026-05-04T16:24:00Z</dcterms:created>
  <dcterms:modified xsi:type="dcterms:W3CDTF">2026-05-07T20:56:00Z</dcterms:modified>
</cp:coreProperties>
</file>