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r>
        <w:t>## ISTRC Budget Plan</w:t>
      </w:r>
    </w:p>
    <w:p>
      <w:pPr/>
      <w:r>
        <w:br/>
      </w:r>
    </w:p>
    <w:p>
      <w:pPr/>
      <w:r>
        <w:rPr>
          <w:b/>
        </w:rPr>
        <w:t>Requested budget:</w:t>
      </w:r>
      <w:r>
        <w:t xml:space="preserve"> 50,000 NIS</w:t>
      </w:r>
    </w:p>
    <w:p>
      <w:pPr/>
      <w:r>
        <w:br/>
      </w:r>
    </w:p>
    <w:p>
      <w:pPr/>
      <w:r>
        <w:t xml:space="preserve">This version reflects the email correspondence with HIT Research Authority. At the proposal stage, the budget should include </w:t>
      </w:r>
      <w:r>
        <w:rPr>
          <w:b/>
        </w:rPr>
        <w:t>10% institutional overhead</w:t>
      </w:r>
      <w:r>
        <w:t>. The budget therefore keeps the total request at 50,000 NIS, including overhead, while preserving the recommended 10,000 NIS allocation for the final presentation/video component.</w:t>
      </w:r>
    </w:p>
    <w:p>
      <w:pPr/>
      <w:r>
        <w:br/>
      </w:r>
    </w:p>
    <w:p>
      <w:pPr/>
      <w:r>
        <w:t>### Proposed allocation</w:t>
      </w:r>
    </w:p>
    <w:p>
      <w:pPr/>
      <w:r>
        <w:br/>
      </w:r>
    </w:p>
    <w:p>
      <w:pPr/>
      <w:r>
        <w:t>| Budget item | Amount (NIS) | Purpose |</w:t>
      </w:r>
    </w:p>
    <w:p>
      <w:pPr/>
      <w:r>
        <w:t>|---|---:|---|</w:t>
      </w:r>
    </w:p>
    <w:p>
      <w:pPr/>
      <w:r>
        <w:t>| Presentation / video / visual policy communication | 10,000 | Preparation of the final policy presentation and/or short video product, including adaptation for non-academic audiences |</w:t>
      </w:r>
    </w:p>
    <w:p>
      <w:pPr/>
      <w:r>
        <w:t>| Research assistance and policy-oriented analytical synthesis | 15,000 | Research support for literature synthesis, source review, comparative framing, drafting support, and consolidation of policy findings |</w:t>
      </w:r>
    </w:p>
    <w:p>
      <w:pPr/>
      <w:r>
        <w:t>| Data preparation, GIS refinement, and figure production | 8,000 | Preparation of policy-ready maps, charts, figures, and refined spatial outputs for the white paper |</w:t>
      </w:r>
    </w:p>
    <w:p>
      <w:pPr/>
      <w:r>
        <w:t>| Editing, language polishing, formatting, and references | 5,000 | English editing, document preparation, reference organization, and submission-ready formatting |</w:t>
      </w:r>
    </w:p>
    <w:p>
      <w:pPr/>
      <w:r>
        <w:t>| Hebrew executive summary and policy adaptation | 2,000 | Preparation of the required Hebrew summary and adaptation of key messages for decision-makers |</w:t>
      </w:r>
    </w:p>
    <w:p>
      <w:pPr/>
      <w:r>
        <w:t>| Stakeholder consultation and final revision reserve | 5,000 | Feedback incorporation, targeted revisions, and limited final analytical refinement |</w:t>
      </w:r>
    </w:p>
    <w:p>
      <w:pPr/>
      <w:r>
        <w:t>| Institutional overhead (10%) | 5,000 | Institutional overhead as indicated in correspondence with HIT Research Authority |</w:t>
      </w:r>
    </w:p>
    <w:p>
      <w:pPr/>
      <w:r>
        <w:t xml:space="preserve">| </w:t>
      </w:r>
      <w:r>
        <w:rPr>
          <w:b/>
        </w:rPr>
        <w:t>Total</w:t>
      </w:r>
      <w:r>
        <w:t xml:space="preserve"> | </w:t>
      </w:r>
      <w:r>
        <w:rPr>
          <w:b/>
        </w:rPr>
        <w:t>50,000</w:t>
      </w:r>
      <w:r>
        <w:t xml:space="preserve"> |  |</w:t>
      </w:r>
    </w:p>
    <w:p>
      <w:pPr/>
      <w:r>
        <w:br/>
      </w:r>
    </w:p>
    <w:p>
      <w:pPr/>
      <w:r>
        <w:t>### Short justification</w:t>
      </w:r>
    </w:p>
    <w:p>
      <w:pPr/>
      <w:r>
        <w:br/>
      </w:r>
    </w:p>
    <w:p>
      <w:pPr/>
      <w:r>
        <w:t xml:space="preserve">The proposed allocation matches the goals of the ISTRC call and the administrative guidance received from HIT. The budget is framed as support for research synthesis, policy analysis, writing, visualization, and dissemination of the white paper. It does </w:t>
      </w:r>
      <w:r>
        <w:rPr>
          <w:b/>
        </w:rPr>
        <w:t>not</w:t>
      </w:r>
      <w:r>
        <w:t xml:space="preserve"> include salary support for faculty and does </w:t>
      </w:r>
      <w:r>
        <w:rPr>
          <w:b/>
        </w:rPr>
        <w:t>not</w:t>
      </w:r>
      <w:r>
        <w:t xml:space="preserve"> frame the work as software development.</w:t>
      </w:r>
    </w:p>
    <w:p>
      <w:pPr/>
      <w:r>
        <w:br/>
      </w:r>
    </w:p>
    <w:p>
      <w:pPr/>
      <w:r>
        <w:t>The recommended 10,000 NIS for presentation/video output is retained explicitly. The remaining direct costs are directed toward converting an existing research base into a policy-oriented white paper and supporting materials. The final 5,000 NIS is reserved for the 10% institutional overhead noted in the correspondence.</w:t>
      </w:r>
    </w:p>
    <w:p>
      <w:pPr/>
      <w:r>
        <w:br/>
      </w:r>
    </w:p>
    <w:p>
      <w:pPr/>
      <w:r>
        <w:t>### Practical framing for submission</w:t>
      </w:r>
    </w:p>
    <w:p>
      <w:pPr/>
      <w:r>
        <w:br/>
      </w:r>
    </w:p>
    <w:p>
      <w:pPr>
        <w:ind w:left="720"/>
      </w:pPr>
      <w:r>
        <w:t>• Emphasize research synthesis, policy analysis, writing, visualization, and dissemination.</w:t>
      </w:r>
    </w:p>
    <w:p>
      <w:pPr>
        <w:ind w:left="720"/>
      </w:pPr>
      <w:r>
        <w:t>• Keep the 10,000 NIS presentation/video line explicit, in line with the call.</w:t>
      </w:r>
    </w:p>
    <w:p>
      <w:pPr>
        <w:ind w:left="720"/>
      </w:pPr>
      <w:r>
        <w:t>• Include institutional overhead (10%) as a separate line item.</w:t>
      </w:r>
    </w:p>
    <w:p>
      <w:pPr>
        <w:ind w:left="720"/>
      </w:pPr>
      <w:r>
        <w:t>• Avoid wording that suggests faculty salary support or a technology build budget.</w:t>
      </w:r>
    </w:p>
    <w:sectPr w:rsidR="00323936" w:rsidRPr="00343CB8" w:rsidSect="007B6604">
      <w:pgSz w:w="11906" w:h="16838"/>
      <w:pgMar w:top="1440" w:right="1080" w:bottom="1440" w:left="108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75pt" o:hralign="center" o:bullet="t" o:hrstd="t" o:hr="t" fillcolor="#a0a0a0" stroked="f"/>
    </w:pict>
  </w:numPicBullet>
  <w:abstractNum w:abstractNumId="0" w15:restartNumberingAfterBreak="0">
    <w:nsid w:val="0D3C6B79"/>
    <w:multiLevelType w:val="multilevel"/>
    <w:tmpl w:val="8ECA6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656701B"/>
    <w:multiLevelType w:val="multilevel"/>
    <w:tmpl w:val="F938A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0AD06C3"/>
    <w:multiLevelType w:val="multilevel"/>
    <w:tmpl w:val="0ADCE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D142AA7"/>
    <w:multiLevelType w:val="multilevel"/>
    <w:tmpl w:val="23107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5056531">
    <w:abstractNumId w:val="3"/>
  </w:num>
  <w:num w:numId="2" w16cid:durableId="185759188">
    <w:abstractNumId w:val="1"/>
  </w:num>
  <w:num w:numId="3" w16cid:durableId="598023462">
    <w:abstractNumId w:val="0"/>
  </w:num>
  <w:num w:numId="4" w16cid:durableId="19386391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6604"/>
    <w:rsid w:val="001E04EE"/>
    <w:rsid w:val="00323936"/>
    <w:rsid w:val="00343CB8"/>
    <w:rsid w:val="00350F30"/>
    <w:rsid w:val="007B6604"/>
    <w:rsid w:val="008B3D79"/>
    <w:rsid w:val="00A81E7B"/>
    <w:rsid w:val="00BB7BD0"/>
    <w:rsid w:val="00E7128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2C54EC"/>
  <w15:chartTrackingRefBased/>
  <w15:docId w15:val="{B9304F5D-9406-460C-A869-6A702EB7B7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rsid w:val="007B66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66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66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66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66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66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66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66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66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66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66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66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66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66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66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66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66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6604"/>
    <w:rPr>
      <w:rFonts w:eastAsiaTheme="majorEastAsia" w:cstheme="majorBidi"/>
      <w:color w:val="272727" w:themeColor="text1" w:themeTint="D8"/>
    </w:rPr>
  </w:style>
  <w:style w:type="paragraph" w:styleId="Title">
    <w:name w:val="Title"/>
    <w:basedOn w:val="Normal"/>
    <w:next w:val="Normal"/>
    <w:link w:val="TitleChar"/>
    <w:uiPriority w:val="10"/>
    <w:qFormat/>
    <w:rsid w:val="007B66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66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66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66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6604"/>
    <w:pPr>
      <w:spacing w:before="160"/>
      <w:jc w:val="center"/>
    </w:pPr>
    <w:rPr>
      <w:i/>
      <w:iCs/>
      <w:color w:val="404040" w:themeColor="text1" w:themeTint="BF"/>
    </w:rPr>
  </w:style>
  <w:style w:type="character" w:customStyle="1" w:styleId="QuoteChar">
    <w:name w:val="Quote Char"/>
    <w:basedOn w:val="DefaultParagraphFont"/>
    <w:link w:val="Quote"/>
    <w:uiPriority w:val="29"/>
    <w:rsid w:val="007B6604"/>
    <w:rPr>
      <w:i/>
      <w:iCs/>
      <w:color w:val="404040" w:themeColor="text1" w:themeTint="BF"/>
    </w:rPr>
  </w:style>
  <w:style w:type="paragraph" w:styleId="ListParagraph">
    <w:name w:val="List Paragraph"/>
    <w:basedOn w:val="Normal"/>
    <w:uiPriority w:val="34"/>
    <w:qFormat/>
    <w:rsid w:val="007B6604"/>
    <w:pPr>
      <w:ind w:left="720"/>
      <w:contextualSpacing/>
    </w:pPr>
  </w:style>
  <w:style w:type="character" w:styleId="IntenseEmphasis">
    <w:name w:val="Intense Emphasis"/>
    <w:basedOn w:val="DefaultParagraphFont"/>
    <w:uiPriority w:val="21"/>
    <w:qFormat/>
    <w:rsid w:val="007B6604"/>
    <w:rPr>
      <w:i/>
      <w:iCs/>
      <w:color w:val="0F4761" w:themeColor="accent1" w:themeShade="BF"/>
    </w:rPr>
  </w:style>
  <w:style w:type="paragraph" w:styleId="IntenseQuote">
    <w:name w:val="Intense Quote"/>
    <w:basedOn w:val="Normal"/>
    <w:next w:val="Normal"/>
    <w:link w:val="IntenseQuoteChar"/>
    <w:uiPriority w:val="30"/>
    <w:qFormat/>
    <w:rsid w:val="007B66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6604"/>
    <w:rPr>
      <w:i/>
      <w:iCs/>
      <w:color w:val="0F4761" w:themeColor="accent1" w:themeShade="BF"/>
    </w:rPr>
  </w:style>
  <w:style w:type="character" w:styleId="IntenseReference">
    <w:name w:val="Intense Reference"/>
    <w:basedOn w:val="DefaultParagraphFont"/>
    <w:uiPriority w:val="32"/>
    <w:qFormat/>
    <w:rsid w:val="007B6604"/>
    <w:rPr>
      <w:b/>
      <w:bCs/>
      <w:smallCaps/>
      <w:color w:val="0F4761" w:themeColor="accent1" w:themeShade="BF"/>
      <w:spacing w:val="5"/>
    </w:rPr>
  </w:style>
  <w:style w:type="character" w:styleId="Hyperlink">
    <w:name w:val="Hyperlink"/>
    <w:basedOn w:val="DefaultParagraphFont"/>
    <w:uiPriority w:val="99"/>
    <w:unhideWhenUsed/>
    <w:rsid w:val="00A81E7B"/>
    <w:rPr>
      <w:color w:val="467886" w:themeColor="hyperlink"/>
      <w:u w:val="single"/>
    </w:rPr>
  </w:style>
  <w:style w:type="character" w:styleId="UnresolvedMention">
    <w:name w:val="Unresolved Mention"/>
    <w:basedOn w:val="DefaultParagraphFont"/>
    <w:uiPriority w:val="99"/>
    <w:semiHidden/>
    <w:unhideWhenUsed/>
    <w:rsid w:val="00A81E7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malis@hit.ac.il" TargetMode="Externa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711</Words>
  <Characters>4057</Characters>
  <Application>Microsoft Office Word</Application>
  <DocSecurity>0</DocSecurity>
  <Lines>33</Lines>
  <Paragraphs>9</Paragraphs>
  <ScaleCrop>false</ScaleCrop>
  <Company/>
  <LinksUpToDate>false</LinksUpToDate>
  <CharactersWithSpaces>4759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Nina Garmash</dc:creator>
  <cp:keywords/>
  <dc:description/>
  <cp:lastModifiedBy>Nina Garmash</cp:lastModifiedBy>
  <cp:revision>3</cp:revision>
  <dcterms:created xsi:type="dcterms:W3CDTF">2026-05-04T16:24:00Z</dcterms:created>
  <dcterms:modified xsi:type="dcterms:W3CDTF">2026-05-07T20:20:00Z</dcterms:modified>
</cp:coreProperties>
</file>