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3E0D" w14:textId="77777777" w:rsidR="00707B3E" w:rsidRDefault="00707B3E" w:rsidP="00707B3E">
      <w:pPr>
        <w:bidi w:val="0"/>
        <w:spacing w:line="276" w:lineRule="auto"/>
        <w:rPr>
          <w:b/>
          <w:bCs/>
          <w:sz w:val="24"/>
          <w:szCs w:val="24"/>
          <w:lang w:val="ru-RU"/>
        </w:rPr>
      </w:pPr>
      <w:r w:rsidRPr="00707B3E">
        <w:rPr>
          <w:b/>
          <w:bCs/>
          <w:sz w:val="24"/>
          <w:szCs w:val="24"/>
        </w:rPr>
        <w:t>ISTRC Policy White Paper Proposal</w:t>
      </w:r>
    </w:p>
    <w:p w14:paraId="63927F90" w14:textId="7D4D0332" w:rsidR="00731ED2" w:rsidRPr="00707B3E" w:rsidRDefault="00731ED2" w:rsidP="00731ED2">
      <w:pPr>
        <w:bidi w:val="0"/>
        <w:spacing w:line="276" w:lineRule="auto"/>
        <w:rPr>
          <w:b/>
          <w:bCs/>
          <w:sz w:val="24"/>
          <w:szCs w:val="24"/>
          <w:lang w:val="ru-RU"/>
        </w:rPr>
      </w:pPr>
      <w:r w:rsidRPr="00731ED2">
        <w:rPr>
          <w:b/>
          <w:bCs/>
          <w:sz w:val="24"/>
          <w:szCs w:val="24"/>
        </w:rPr>
        <w:t>1 st page</w:t>
      </w:r>
    </w:p>
    <w:p w14:paraId="3E7F838E" w14:textId="77777777" w:rsidR="00A400EF" w:rsidRPr="00A400EF" w:rsidRDefault="00A400EF" w:rsidP="00A400EF">
      <w:pPr>
        <w:bidi w:val="0"/>
        <w:spacing w:line="276" w:lineRule="auto"/>
        <w:rPr>
          <w:sz w:val="24"/>
          <w:szCs w:val="24"/>
        </w:rPr>
      </w:pPr>
      <w:r w:rsidRPr="00A400EF">
        <w:rPr>
          <w:b/>
          <w:bCs/>
          <w:sz w:val="24"/>
          <w:szCs w:val="24"/>
        </w:rPr>
        <w:t>Title of Proposed Policy Paper</w:t>
      </w:r>
      <w:r w:rsidRPr="00A400EF">
        <w:rPr>
          <w:sz w:val="24"/>
          <w:szCs w:val="24"/>
        </w:rPr>
        <w:br/>
        <w:t>From Crash Counts to Safety Priorities: A Policy Framework for Urban E-Scooter Safety in Israel</w:t>
      </w:r>
    </w:p>
    <w:p w14:paraId="3CE6BF05" w14:textId="276EF004" w:rsidR="00A400EF" w:rsidRPr="00A400EF" w:rsidRDefault="00A400EF" w:rsidP="003126FA">
      <w:pPr>
        <w:bidi w:val="0"/>
        <w:spacing w:line="276" w:lineRule="auto"/>
        <w:rPr>
          <w:sz w:val="24"/>
          <w:szCs w:val="24"/>
          <w:lang w:val="ru-RU"/>
        </w:rPr>
      </w:pPr>
      <w:r w:rsidRPr="00A400EF">
        <w:rPr>
          <w:b/>
          <w:bCs/>
          <w:sz w:val="24"/>
          <w:szCs w:val="24"/>
        </w:rPr>
        <w:t>Principal Investigator</w:t>
      </w:r>
      <w:r w:rsidRPr="00A400EF">
        <w:rPr>
          <w:sz w:val="24"/>
          <w:szCs w:val="24"/>
        </w:rPr>
        <w:br/>
        <w:t>Dr. Mali Sher</w:t>
      </w:r>
      <w:r w:rsidR="00BE3D20" w:rsidRPr="00BE3D20">
        <w:rPr>
          <w:sz w:val="24"/>
          <w:szCs w:val="24"/>
        </w:rPr>
        <w:t xml:space="preserve"> / </w:t>
      </w:r>
      <w:r w:rsidR="00BE3D20" w:rsidRPr="00A400EF">
        <w:rPr>
          <w:sz w:val="24"/>
          <w:szCs w:val="24"/>
        </w:rPr>
        <w:t>Holon Institute of Technology</w:t>
      </w:r>
      <w:r w:rsidR="003126FA" w:rsidRPr="003126FA">
        <w:rPr>
          <w:sz w:val="24"/>
          <w:szCs w:val="24"/>
        </w:rPr>
        <w:t xml:space="preserve">, </w:t>
      </w:r>
      <w:r w:rsidR="003126FA" w:rsidRPr="00A400EF">
        <w:rPr>
          <w:sz w:val="24"/>
          <w:szCs w:val="24"/>
        </w:rPr>
        <w:t xml:space="preserve">Natun </w:t>
      </w:r>
      <w:proofErr w:type="spellStart"/>
      <w:r w:rsidR="003126FA" w:rsidRPr="00A400EF">
        <w:rPr>
          <w:sz w:val="24"/>
          <w:szCs w:val="24"/>
        </w:rPr>
        <w:t>Leshinui</w:t>
      </w:r>
      <w:proofErr w:type="spellEnd"/>
    </w:p>
    <w:p w14:paraId="7B3AF3E3" w14:textId="1AF0C7E0" w:rsidR="00A400EF" w:rsidRPr="00A400EF" w:rsidRDefault="00A400EF" w:rsidP="003126FA">
      <w:pPr>
        <w:bidi w:val="0"/>
        <w:spacing w:line="276" w:lineRule="auto"/>
        <w:rPr>
          <w:sz w:val="24"/>
          <w:szCs w:val="24"/>
          <w:lang w:val="ru-RU"/>
        </w:rPr>
      </w:pPr>
      <w:r w:rsidRPr="00A400EF">
        <w:rPr>
          <w:b/>
          <w:bCs/>
          <w:sz w:val="24"/>
          <w:szCs w:val="24"/>
        </w:rPr>
        <w:t>Co-Investigator(s)</w:t>
      </w:r>
      <w:r w:rsidRPr="00A400EF">
        <w:rPr>
          <w:sz w:val="24"/>
          <w:szCs w:val="24"/>
        </w:rPr>
        <w:br/>
        <w:t>Nina Garmash</w:t>
      </w:r>
      <w:r w:rsidR="003126FA" w:rsidRPr="003126FA">
        <w:rPr>
          <w:sz w:val="24"/>
          <w:szCs w:val="24"/>
        </w:rPr>
        <w:t>/</w:t>
      </w:r>
      <w:r w:rsidR="00A33E14" w:rsidRPr="00A33E14">
        <w:rPr>
          <w:sz w:val="24"/>
          <w:szCs w:val="24"/>
        </w:rPr>
        <w:t xml:space="preserve"> </w:t>
      </w:r>
      <w:r w:rsidR="00A33E14" w:rsidRPr="00A400EF">
        <w:rPr>
          <w:sz w:val="24"/>
          <w:szCs w:val="24"/>
        </w:rPr>
        <w:t>Holon Institute of Technology</w:t>
      </w:r>
      <w:r w:rsidR="00A33E14" w:rsidRPr="003126FA">
        <w:rPr>
          <w:sz w:val="24"/>
          <w:szCs w:val="24"/>
        </w:rPr>
        <w:t xml:space="preserve">, </w:t>
      </w:r>
      <w:r w:rsidR="00A33E14" w:rsidRPr="00A400EF">
        <w:rPr>
          <w:sz w:val="24"/>
          <w:szCs w:val="24"/>
        </w:rPr>
        <w:t xml:space="preserve">Natun </w:t>
      </w:r>
      <w:proofErr w:type="spellStart"/>
      <w:r w:rsidR="00A33E14" w:rsidRPr="00A400EF">
        <w:rPr>
          <w:sz w:val="24"/>
          <w:szCs w:val="24"/>
        </w:rPr>
        <w:t>Leshinui</w:t>
      </w:r>
      <w:proofErr w:type="spellEnd"/>
    </w:p>
    <w:p w14:paraId="06D68FA7" w14:textId="1B207B96" w:rsidR="00A400EF" w:rsidRPr="00A400EF" w:rsidRDefault="00A400EF" w:rsidP="002179AD">
      <w:pPr>
        <w:bidi w:val="0"/>
        <w:spacing w:line="276" w:lineRule="auto"/>
        <w:rPr>
          <w:sz w:val="24"/>
          <w:szCs w:val="24"/>
        </w:rPr>
      </w:pPr>
      <w:r w:rsidRPr="00A400EF">
        <w:rPr>
          <w:b/>
          <w:bCs/>
          <w:sz w:val="24"/>
          <w:szCs w:val="24"/>
        </w:rPr>
        <w:t>Keywords</w:t>
      </w:r>
      <w:r w:rsidRPr="00A400EF">
        <w:rPr>
          <w:sz w:val="24"/>
          <w:szCs w:val="24"/>
        </w:rPr>
        <w:br/>
        <w:t>E-scooter safety; micromobility; transportation policy; urban road safety; data-driven policy; Tel Aviv-Jaffa;</w:t>
      </w:r>
      <w:r w:rsidR="002179AD" w:rsidRPr="002179AD">
        <w:rPr>
          <w:sz w:val="24"/>
          <w:szCs w:val="24"/>
        </w:rPr>
        <w:t xml:space="preserve"> </w:t>
      </w:r>
      <w:r w:rsidRPr="00A400EF">
        <w:rPr>
          <w:sz w:val="24"/>
          <w:szCs w:val="24"/>
        </w:rPr>
        <w:t>municipal plannin</w:t>
      </w:r>
      <w:r w:rsidR="006F65F4">
        <w:rPr>
          <w:sz w:val="24"/>
          <w:szCs w:val="24"/>
        </w:rPr>
        <w:t>g</w:t>
      </w:r>
      <w:r w:rsidRPr="00A400EF">
        <w:rPr>
          <w:sz w:val="24"/>
          <w:szCs w:val="24"/>
        </w:rPr>
        <w:pict w14:anchorId="03473DB1">
          <v:rect id="_x0000_i1056" style="width:0;height:.75pt" o:hralign="center" o:hrstd="t" o:hr="t" fillcolor="#a0a0a0" stroked="f"/>
        </w:pict>
      </w:r>
    </w:p>
    <w:p w14:paraId="7051A307" w14:textId="77777777" w:rsidR="00A400EF" w:rsidRPr="00A400EF" w:rsidRDefault="00A400EF" w:rsidP="00A400EF">
      <w:pPr>
        <w:bidi w:val="0"/>
        <w:spacing w:line="276" w:lineRule="auto"/>
        <w:rPr>
          <w:b/>
          <w:bCs/>
          <w:sz w:val="24"/>
          <w:szCs w:val="24"/>
        </w:rPr>
      </w:pPr>
      <w:r w:rsidRPr="00A400EF">
        <w:rPr>
          <w:b/>
          <w:bCs/>
          <w:sz w:val="24"/>
          <w:szCs w:val="24"/>
        </w:rPr>
        <w:t>Policy Paper Proposal</w:t>
      </w:r>
    </w:p>
    <w:p w14:paraId="06E82793" w14:textId="77777777" w:rsidR="00A400EF" w:rsidRPr="00A400EF" w:rsidRDefault="00A400EF" w:rsidP="00A400EF">
      <w:pPr>
        <w:bidi w:val="0"/>
        <w:spacing w:line="276" w:lineRule="auto"/>
        <w:rPr>
          <w:b/>
          <w:bCs/>
          <w:sz w:val="24"/>
          <w:szCs w:val="24"/>
        </w:rPr>
      </w:pPr>
      <w:r w:rsidRPr="00A400EF">
        <w:rPr>
          <w:b/>
          <w:bCs/>
          <w:sz w:val="24"/>
          <w:szCs w:val="24"/>
        </w:rPr>
        <w:t>Policy problem addressed</w:t>
      </w:r>
    </w:p>
    <w:p w14:paraId="1342F8C3" w14:textId="77777777" w:rsidR="00A400EF" w:rsidRPr="00A400EF" w:rsidRDefault="00A400EF" w:rsidP="00A400EF">
      <w:pPr>
        <w:bidi w:val="0"/>
        <w:spacing w:line="276" w:lineRule="auto"/>
        <w:rPr>
          <w:sz w:val="24"/>
          <w:szCs w:val="24"/>
        </w:rPr>
      </w:pPr>
      <w:r w:rsidRPr="00A400EF">
        <w:rPr>
          <w:sz w:val="24"/>
          <w:szCs w:val="24"/>
        </w:rPr>
        <w:t>Electric scooters are now a permanent part of urban mobility in Israel, especially in Tel Aviv-Jaffa, but the policy framework for managing their safety remains fragmented. Municipal and national decisions are still often based on partial evidence, static reports, or raw crash counts alone.</w:t>
      </w:r>
    </w:p>
    <w:p w14:paraId="0B4E19D3" w14:textId="77777777" w:rsidR="00A400EF" w:rsidRPr="00A400EF" w:rsidRDefault="00A400EF" w:rsidP="00A400EF">
      <w:pPr>
        <w:bidi w:val="0"/>
        <w:spacing w:line="276" w:lineRule="auto"/>
        <w:rPr>
          <w:sz w:val="24"/>
          <w:szCs w:val="24"/>
        </w:rPr>
      </w:pPr>
      <w:r w:rsidRPr="00A400EF">
        <w:rPr>
          <w:sz w:val="24"/>
          <w:szCs w:val="24"/>
        </w:rPr>
        <w:t>Crash volume and crash severity do not necessarily coincide. Locations, user groups, and crash types that generate many incidents are not always those associated with the most serious harm. Count-based policy can therefore over-prioritize frequent but lower-severity contexts while under-addressing lower-frequency situations with disproportionate injury severity. It also tends to miss broader evidence on infrastructure, rider exposure, pedestrian involvement, and enforcement patterns.</w:t>
      </w:r>
    </w:p>
    <w:p w14:paraId="4E4163FB" w14:textId="77777777" w:rsidR="00A400EF" w:rsidRPr="00A400EF" w:rsidRDefault="00A400EF" w:rsidP="00A400EF">
      <w:pPr>
        <w:bidi w:val="0"/>
        <w:spacing w:line="276" w:lineRule="auto"/>
        <w:rPr>
          <w:sz w:val="24"/>
          <w:szCs w:val="24"/>
        </w:rPr>
      </w:pPr>
      <w:r w:rsidRPr="00A400EF">
        <w:rPr>
          <w:sz w:val="24"/>
          <w:szCs w:val="24"/>
        </w:rPr>
        <w:t>This white paper addresses that gap by developing a policy framework based on a multi-source analytical system already built and tested on Tel Aviv-Jaffa data. Its central argument is that e-scooter policy should distinguish between crash volume and crash severity, and align interventions accordingly. The case study is Tel Aviv-Jaffa, Israel's main hotspot for e-scooter crashes, but the goal is broader: a transferable framework for other Israeli cities facing growing micromobility risks.</w:t>
      </w:r>
    </w:p>
    <w:p w14:paraId="3DA57418" w14:textId="77777777" w:rsidR="00A400EF" w:rsidRPr="00A400EF" w:rsidRDefault="00A400EF" w:rsidP="00A400EF">
      <w:pPr>
        <w:bidi w:val="0"/>
        <w:spacing w:line="276" w:lineRule="auto"/>
        <w:rPr>
          <w:b/>
          <w:bCs/>
          <w:sz w:val="24"/>
          <w:szCs w:val="24"/>
        </w:rPr>
      </w:pPr>
      <w:r w:rsidRPr="00A400EF">
        <w:rPr>
          <w:b/>
          <w:bCs/>
          <w:sz w:val="24"/>
          <w:szCs w:val="24"/>
        </w:rPr>
        <w:t>Brief description of the research basis</w:t>
      </w:r>
    </w:p>
    <w:p w14:paraId="0F638361" w14:textId="77777777" w:rsidR="00A400EF" w:rsidRPr="00A400EF" w:rsidRDefault="00A400EF" w:rsidP="00A400EF">
      <w:pPr>
        <w:bidi w:val="0"/>
        <w:spacing w:line="276" w:lineRule="auto"/>
        <w:rPr>
          <w:sz w:val="24"/>
          <w:szCs w:val="24"/>
        </w:rPr>
      </w:pPr>
      <w:r w:rsidRPr="00A400EF">
        <w:rPr>
          <w:sz w:val="24"/>
          <w:szCs w:val="24"/>
        </w:rPr>
        <w:t>The proposal builds on an existing multi-source research framework for e-scooter safety in Tel Aviv-Jaffa. Its core dataset is the Israeli Central Bureau of Statistics road-accident Public Use Files for 2013 to mid-2025, including linked accident, involved-person, and vehicle tables.</w:t>
      </w:r>
    </w:p>
    <w:p w14:paraId="77B3DEBA" w14:textId="77777777" w:rsidR="00A400EF" w:rsidRPr="00A400EF" w:rsidRDefault="00A400EF" w:rsidP="00A400EF">
      <w:pPr>
        <w:bidi w:val="0"/>
        <w:spacing w:line="276" w:lineRule="auto"/>
        <w:rPr>
          <w:sz w:val="24"/>
          <w:szCs w:val="24"/>
        </w:rPr>
      </w:pPr>
      <w:r w:rsidRPr="00A400EF">
        <w:rPr>
          <w:sz w:val="24"/>
          <w:szCs w:val="24"/>
        </w:rPr>
        <w:lastRenderedPageBreak/>
        <w:t>The crash records have already been integrated with municipal GIS layers, including quarter boundaries, street networks, and bicycle-path infrastructure, as well as shared-trip exposure data, survey data, field observations, and enforcement-related information where available. Together, these sources support analysis across citywide, quarter, street, and infrastructure contexts.</w:t>
      </w:r>
    </w:p>
    <w:p w14:paraId="4A747224" w14:textId="77777777" w:rsidR="00A400EF" w:rsidRPr="00A400EF" w:rsidRDefault="00A400EF" w:rsidP="00A400EF">
      <w:pPr>
        <w:bidi w:val="0"/>
        <w:spacing w:line="276" w:lineRule="auto"/>
        <w:rPr>
          <w:sz w:val="24"/>
          <w:szCs w:val="24"/>
        </w:rPr>
      </w:pPr>
      <w:r w:rsidRPr="00A400EF">
        <w:rPr>
          <w:sz w:val="24"/>
          <w:szCs w:val="24"/>
        </w:rPr>
        <w:t>The main analytical contribution is the parallel treatment of crash volume and crash severity. Severity is measured at both the person and crash levels, while volume is examined through counts, subgroup shares, and density or frequency measures.</w:t>
      </w:r>
    </w:p>
    <w:p w14:paraId="704BB08F" w14:textId="77777777" w:rsidR="00A400EF" w:rsidRPr="00A400EF" w:rsidRDefault="00A400EF" w:rsidP="00A400EF">
      <w:pPr>
        <w:bidi w:val="0"/>
        <w:spacing w:line="276" w:lineRule="auto"/>
        <w:rPr>
          <w:sz w:val="24"/>
          <w:szCs w:val="24"/>
        </w:rPr>
      </w:pPr>
      <w:r w:rsidRPr="00A400EF">
        <w:rPr>
          <w:sz w:val="24"/>
          <w:szCs w:val="24"/>
        </w:rPr>
        <w:t>The research base already supports several policy-relevant modules, including quarter-level prioritization, infrastructure-related risk patterns, solo versus two-party crashes, pedestrian involvement, passenger and tandem-riding risk, and helmet-related analysis. It already functions as an operational BI environment rather than a one-time research exercise, which makes translation into a policy white paper feasible within the proposed time frame.</w:t>
      </w:r>
    </w:p>
    <w:p w14:paraId="22C143DB" w14:textId="77777777" w:rsidR="00A400EF" w:rsidRPr="00A400EF" w:rsidRDefault="00A400EF" w:rsidP="00A400EF">
      <w:pPr>
        <w:bidi w:val="0"/>
        <w:spacing w:line="276" w:lineRule="auto"/>
        <w:rPr>
          <w:b/>
          <w:bCs/>
          <w:sz w:val="24"/>
          <w:szCs w:val="24"/>
        </w:rPr>
      </w:pPr>
      <w:r w:rsidRPr="00A400EF">
        <w:rPr>
          <w:b/>
          <w:bCs/>
          <w:sz w:val="24"/>
          <w:szCs w:val="24"/>
        </w:rPr>
        <w:t>Expected policy recommendations</w:t>
      </w:r>
    </w:p>
    <w:p w14:paraId="6B54DD3B" w14:textId="77777777" w:rsidR="00A400EF" w:rsidRPr="00A400EF" w:rsidRDefault="00A400EF" w:rsidP="00A400EF">
      <w:pPr>
        <w:bidi w:val="0"/>
        <w:spacing w:line="276" w:lineRule="auto"/>
        <w:rPr>
          <w:sz w:val="24"/>
          <w:szCs w:val="24"/>
        </w:rPr>
      </w:pPr>
      <w:r w:rsidRPr="00A400EF">
        <w:rPr>
          <w:sz w:val="24"/>
          <w:szCs w:val="24"/>
        </w:rPr>
        <w:t>The white paper will produce implementable recommendations for municipal and national decision-makers. Six policy directions are expected.</w:t>
      </w:r>
    </w:p>
    <w:p w14:paraId="31B814E0" w14:textId="77777777" w:rsidR="00A400EF" w:rsidRPr="00A400EF" w:rsidRDefault="00A400EF" w:rsidP="00A400EF">
      <w:pPr>
        <w:bidi w:val="0"/>
        <w:spacing w:line="276" w:lineRule="auto"/>
        <w:rPr>
          <w:sz w:val="24"/>
          <w:szCs w:val="24"/>
        </w:rPr>
      </w:pPr>
      <w:r w:rsidRPr="00A400EF">
        <w:rPr>
          <w:sz w:val="24"/>
          <w:szCs w:val="24"/>
        </w:rPr>
        <w:t>First, it will recommend separating high-volume from high-severity contexts rather than relying on crash counts alone. High-volume contexts call mainly for crash-prevention measures; high-severity contexts require protective, regulatory, or enforcement-oriented responses.</w:t>
      </w:r>
    </w:p>
    <w:p w14:paraId="7E059356" w14:textId="77777777" w:rsidR="00A400EF" w:rsidRPr="00A400EF" w:rsidRDefault="00A400EF" w:rsidP="00A400EF">
      <w:pPr>
        <w:bidi w:val="0"/>
        <w:spacing w:line="276" w:lineRule="auto"/>
        <w:rPr>
          <w:sz w:val="24"/>
          <w:szCs w:val="24"/>
        </w:rPr>
      </w:pPr>
      <w:r w:rsidRPr="00A400EF">
        <w:rPr>
          <w:sz w:val="24"/>
          <w:szCs w:val="24"/>
        </w:rPr>
        <w:t>Second, it will propose a place-based prioritization framework for municipalities, ranking e-scooter risk across quarters, streets, and infrastructure contexts through a combination of volume, severity, and selected contextual indicators.</w:t>
      </w:r>
    </w:p>
    <w:p w14:paraId="36F252C3" w14:textId="77777777" w:rsidR="00A400EF" w:rsidRPr="00A400EF" w:rsidRDefault="00A400EF" w:rsidP="00A400EF">
      <w:pPr>
        <w:bidi w:val="0"/>
        <w:spacing w:line="276" w:lineRule="auto"/>
        <w:rPr>
          <w:sz w:val="24"/>
          <w:szCs w:val="24"/>
        </w:rPr>
      </w:pPr>
      <w:r w:rsidRPr="00A400EF">
        <w:rPr>
          <w:sz w:val="24"/>
          <w:szCs w:val="24"/>
        </w:rPr>
        <w:t>Third, it will identify where infrastructure treatment should be prioritized, including intersections, road geometry, lane allocation, bicycle-path continuity, lighting, and surface conditions associated with severe outcomes.</w:t>
      </w:r>
    </w:p>
    <w:p w14:paraId="095DDAE2" w14:textId="77777777" w:rsidR="00A400EF" w:rsidRPr="00A400EF" w:rsidRDefault="00A400EF" w:rsidP="00A400EF">
      <w:pPr>
        <w:bidi w:val="0"/>
        <w:spacing w:line="276" w:lineRule="auto"/>
        <w:rPr>
          <w:sz w:val="24"/>
          <w:szCs w:val="24"/>
        </w:rPr>
      </w:pPr>
      <w:r w:rsidRPr="00A400EF">
        <w:rPr>
          <w:sz w:val="24"/>
          <w:szCs w:val="24"/>
        </w:rPr>
        <w:t>Fourth, it will recommend differentiated responses for high-risk user groups and crash configurations, including minors, pedestrians, tandem riders, passengers, and selected motor-vehicle interactions.</w:t>
      </w:r>
    </w:p>
    <w:p w14:paraId="70A2D3FC" w14:textId="77777777" w:rsidR="00A400EF" w:rsidRPr="00A400EF" w:rsidRDefault="00A400EF" w:rsidP="00A400EF">
      <w:pPr>
        <w:bidi w:val="0"/>
        <w:spacing w:line="276" w:lineRule="auto"/>
        <w:rPr>
          <w:sz w:val="24"/>
          <w:szCs w:val="24"/>
        </w:rPr>
      </w:pPr>
      <w:r w:rsidRPr="00A400EF">
        <w:rPr>
          <w:sz w:val="24"/>
          <w:szCs w:val="24"/>
        </w:rPr>
        <w:t xml:space="preserve">Fifth, it will propose a stronger evidence architecture for e-scooter policymaking in Israel by integrating crash, infrastructure, exposure, </w:t>
      </w:r>
      <w:r w:rsidRPr="00A400EF">
        <w:rPr>
          <w:rFonts w:asciiTheme="majorBidi" w:hAnsiTheme="majorBidi" w:cstheme="majorBidi"/>
          <w:sz w:val="24"/>
          <w:szCs w:val="24"/>
        </w:rPr>
        <w:t>observation</w:t>
      </w:r>
      <w:r w:rsidRPr="00A400EF">
        <w:rPr>
          <w:sz w:val="24"/>
          <w:szCs w:val="24"/>
        </w:rPr>
        <w:t>, and enforcement data into a repeatable municipal framework.</w:t>
      </w:r>
    </w:p>
    <w:p w14:paraId="31AB5A1E" w14:textId="77777777" w:rsidR="00A400EF" w:rsidRPr="00A400EF" w:rsidRDefault="00A400EF" w:rsidP="00A400EF">
      <w:pPr>
        <w:bidi w:val="0"/>
        <w:spacing w:line="276" w:lineRule="auto"/>
        <w:rPr>
          <w:sz w:val="24"/>
          <w:szCs w:val="24"/>
        </w:rPr>
      </w:pPr>
      <w:r w:rsidRPr="00A400EF">
        <w:rPr>
          <w:sz w:val="24"/>
          <w:szCs w:val="24"/>
        </w:rPr>
        <w:t>Sixth, it will formulate a transfer model for other Israeli cities: not a mechanical replication of Tel Aviv-Jaffa's findings, but an analytical template that municipalities can adapt to local conditions.</w:t>
      </w:r>
    </w:p>
    <w:p w14:paraId="5B218461" w14:textId="23BBE764" w:rsidR="008B3D79" w:rsidRPr="00A23EE7" w:rsidRDefault="00A400EF" w:rsidP="00A23EE7">
      <w:pPr>
        <w:bidi w:val="0"/>
        <w:spacing w:line="276" w:lineRule="auto"/>
        <w:rPr>
          <w:sz w:val="24"/>
          <w:szCs w:val="24"/>
          <w:lang w:val="ru-RU"/>
        </w:rPr>
      </w:pPr>
      <w:r w:rsidRPr="00A400EF">
        <w:rPr>
          <w:sz w:val="24"/>
          <w:szCs w:val="24"/>
        </w:rPr>
        <w:t>Overall, the paper will translate a mature empirical research base into a practical policy framework for one of Israel's fastest-growing urban safety challenges.</w:t>
      </w:r>
    </w:p>
    <w:sectPr w:rsidR="008B3D79" w:rsidRPr="00A23EE7" w:rsidSect="00A23EE7">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9A"/>
    <w:rsid w:val="00132F25"/>
    <w:rsid w:val="00142277"/>
    <w:rsid w:val="001E04EE"/>
    <w:rsid w:val="002179AD"/>
    <w:rsid w:val="002704EB"/>
    <w:rsid w:val="002F194F"/>
    <w:rsid w:val="003126FA"/>
    <w:rsid w:val="00350F30"/>
    <w:rsid w:val="003B7268"/>
    <w:rsid w:val="00543CA6"/>
    <w:rsid w:val="00616038"/>
    <w:rsid w:val="006F65F4"/>
    <w:rsid w:val="00707B3E"/>
    <w:rsid w:val="00716404"/>
    <w:rsid w:val="00731ED2"/>
    <w:rsid w:val="008B3D79"/>
    <w:rsid w:val="0097549A"/>
    <w:rsid w:val="00A23EE7"/>
    <w:rsid w:val="00A33E14"/>
    <w:rsid w:val="00A400EF"/>
    <w:rsid w:val="00B10FC9"/>
    <w:rsid w:val="00B67925"/>
    <w:rsid w:val="00BB7BD0"/>
    <w:rsid w:val="00BE3D20"/>
    <w:rsid w:val="00C92FB5"/>
    <w:rsid w:val="00E71287"/>
    <w:rsid w:val="00F71A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4208"/>
  <w15:chartTrackingRefBased/>
  <w15:docId w15:val="{F723EC56-6E49-4C9E-9031-B34BA518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7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9A"/>
    <w:rPr>
      <w:rFonts w:eastAsiaTheme="majorEastAsia" w:cstheme="majorBidi"/>
      <w:color w:val="272727" w:themeColor="text1" w:themeTint="D8"/>
    </w:rPr>
  </w:style>
  <w:style w:type="paragraph" w:styleId="Title">
    <w:name w:val="Title"/>
    <w:basedOn w:val="Normal"/>
    <w:next w:val="Normal"/>
    <w:link w:val="TitleChar"/>
    <w:uiPriority w:val="10"/>
    <w:qFormat/>
    <w:rsid w:val="0097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9A"/>
    <w:pPr>
      <w:spacing w:before="160"/>
      <w:jc w:val="center"/>
    </w:pPr>
    <w:rPr>
      <w:i/>
      <w:iCs/>
      <w:color w:val="404040" w:themeColor="text1" w:themeTint="BF"/>
    </w:rPr>
  </w:style>
  <w:style w:type="character" w:customStyle="1" w:styleId="QuoteChar">
    <w:name w:val="Quote Char"/>
    <w:basedOn w:val="DefaultParagraphFont"/>
    <w:link w:val="Quote"/>
    <w:uiPriority w:val="29"/>
    <w:rsid w:val="0097549A"/>
    <w:rPr>
      <w:i/>
      <w:iCs/>
      <w:color w:val="404040" w:themeColor="text1" w:themeTint="BF"/>
    </w:rPr>
  </w:style>
  <w:style w:type="paragraph" w:styleId="ListParagraph">
    <w:name w:val="List Paragraph"/>
    <w:basedOn w:val="Normal"/>
    <w:uiPriority w:val="34"/>
    <w:qFormat/>
    <w:rsid w:val="0097549A"/>
    <w:pPr>
      <w:ind w:left="720"/>
      <w:contextualSpacing/>
    </w:pPr>
  </w:style>
  <w:style w:type="character" w:styleId="IntenseEmphasis">
    <w:name w:val="Intense Emphasis"/>
    <w:basedOn w:val="DefaultParagraphFont"/>
    <w:uiPriority w:val="21"/>
    <w:qFormat/>
    <w:rsid w:val="0097549A"/>
    <w:rPr>
      <w:i/>
      <w:iCs/>
      <w:color w:val="0F4761" w:themeColor="accent1" w:themeShade="BF"/>
    </w:rPr>
  </w:style>
  <w:style w:type="paragraph" w:styleId="IntenseQuote">
    <w:name w:val="Intense Quote"/>
    <w:basedOn w:val="Normal"/>
    <w:next w:val="Normal"/>
    <w:link w:val="IntenseQuoteChar"/>
    <w:uiPriority w:val="30"/>
    <w:qFormat/>
    <w:rsid w:val="0097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49A"/>
    <w:rPr>
      <w:i/>
      <w:iCs/>
      <w:color w:val="0F4761" w:themeColor="accent1" w:themeShade="BF"/>
    </w:rPr>
  </w:style>
  <w:style w:type="character" w:styleId="IntenseReference">
    <w:name w:val="Intense Reference"/>
    <w:basedOn w:val="DefaultParagraphFont"/>
    <w:uiPriority w:val="32"/>
    <w:qFormat/>
    <w:rsid w:val="00975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2</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23</cp:revision>
  <dcterms:created xsi:type="dcterms:W3CDTF">2026-05-03T21:00:00Z</dcterms:created>
  <dcterms:modified xsi:type="dcterms:W3CDTF">2026-05-04T16:17:00Z</dcterms:modified>
</cp:coreProperties>
</file>