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A6967" w14:textId="4B1031BD" w:rsidR="003A5040" w:rsidRDefault="00EB290D" w:rsidP="001F40F2">
      <w:pPr>
        <w:pStyle w:val="Nzov"/>
        <w:jc w:val="center"/>
      </w:pPr>
      <w:r>
        <w:t>Zmysly a zmyslová sústava</w:t>
      </w:r>
    </w:p>
    <w:p w14:paraId="241A5921" w14:textId="77777777" w:rsidR="00B63465" w:rsidRDefault="00B63465" w:rsidP="00B63465"/>
    <w:p w14:paraId="21DA101F" w14:textId="6451CB0F" w:rsidR="00B63465" w:rsidRDefault="00EB290D" w:rsidP="00B63465">
      <w:pPr>
        <w:pStyle w:val="Odsekzoznamu"/>
        <w:numPr>
          <w:ilvl w:val="0"/>
          <w:numId w:val="1"/>
        </w:numPr>
      </w:pPr>
      <w:r>
        <w:t xml:space="preserve">Zmysly (Čuch, chuť, hmat, zrak, sluch) poskytujú informácie o vonkajšom a vnútornom prostredí prostredníctvom zmyslových buniek – </w:t>
      </w:r>
      <w:r w:rsidRPr="00EB290D">
        <w:rPr>
          <w:b/>
          <w:bCs/>
        </w:rPr>
        <w:t>receptorov</w:t>
      </w:r>
    </w:p>
    <w:p w14:paraId="1FD88A37" w14:textId="6CFB163D" w:rsidR="00EB290D" w:rsidRDefault="00EB290D" w:rsidP="00B63465">
      <w:pPr>
        <w:pStyle w:val="Odsekzoznamu"/>
        <w:numPr>
          <w:ilvl w:val="0"/>
          <w:numId w:val="1"/>
        </w:numPr>
      </w:pPr>
      <w:r>
        <w:t xml:space="preserve">Sú uložené v zmyslových orgánoch </w:t>
      </w:r>
    </w:p>
    <w:p w14:paraId="77911F83" w14:textId="479938F4" w:rsidR="00EB290D" w:rsidRDefault="00EB290D" w:rsidP="00EB290D">
      <w:pPr>
        <w:pStyle w:val="Odsekzoznamu"/>
        <w:numPr>
          <w:ilvl w:val="1"/>
          <w:numId w:val="1"/>
        </w:numPr>
      </w:pPr>
      <w:r>
        <w:t>(Receptor chuťový pohárik uložený v orgáne jazyk, zmysel = chuť)</w:t>
      </w:r>
    </w:p>
    <w:p w14:paraId="5C2ABCB5" w14:textId="2F69D2C3" w:rsidR="00EB290D" w:rsidRDefault="00EB290D" w:rsidP="00EB290D">
      <w:pPr>
        <w:pStyle w:val="Odsekzoznamu"/>
        <w:numPr>
          <w:ilvl w:val="1"/>
          <w:numId w:val="1"/>
        </w:numPr>
      </w:pPr>
      <w:r>
        <w:t>Receptor – senzitívne nervové zakončenia,. Ktoré sú rozmiestené po celom tele a ktoré prijímajú špecifické podnety</w:t>
      </w:r>
    </w:p>
    <w:p w14:paraId="09C74E25" w14:textId="2444D746" w:rsidR="00EB290D" w:rsidRDefault="00EB290D" w:rsidP="00EB290D"/>
    <w:p w14:paraId="00036E9A" w14:textId="3CDBF8BB" w:rsidR="00EB290D" w:rsidRDefault="00EB290D" w:rsidP="00EB290D">
      <w:pPr>
        <w:pStyle w:val="Odsekzoznamu"/>
        <w:numPr>
          <w:ilvl w:val="0"/>
          <w:numId w:val="1"/>
        </w:numPr>
      </w:pPr>
      <w:r>
        <w:t>Receptory delíme na:</w:t>
      </w:r>
    </w:p>
    <w:p w14:paraId="7852DF06" w14:textId="77777777" w:rsidR="00EB290D" w:rsidRDefault="00EB290D" w:rsidP="00EB290D">
      <w:pPr>
        <w:pStyle w:val="Odsekzoznamu"/>
        <w:numPr>
          <w:ilvl w:val="1"/>
          <w:numId w:val="1"/>
        </w:numPr>
      </w:pPr>
      <w:r>
        <w:t> Exteroreceptory – prijímajú podnety z vonkajšieho prostredia:</w:t>
      </w:r>
    </w:p>
    <w:p w14:paraId="5DE200D6" w14:textId="6A52C90E" w:rsidR="00EB290D" w:rsidRDefault="00EB290D" w:rsidP="00EB290D">
      <w:pPr>
        <w:pStyle w:val="Odsekzoznamu"/>
        <w:numPr>
          <w:ilvl w:val="2"/>
          <w:numId w:val="1"/>
        </w:numPr>
      </w:pPr>
      <w:proofErr w:type="spellStart"/>
      <w:r>
        <w:t>Kraussove</w:t>
      </w:r>
      <w:proofErr w:type="spellEnd"/>
      <w:r>
        <w:t xml:space="preserve"> telieska – vnímanie chladu</w:t>
      </w:r>
    </w:p>
    <w:p w14:paraId="04F816A6" w14:textId="35430ACB" w:rsidR="00EB290D" w:rsidRDefault="00EB290D" w:rsidP="00EB290D">
      <w:pPr>
        <w:pStyle w:val="Odsekzoznamu"/>
        <w:numPr>
          <w:ilvl w:val="2"/>
          <w:numId w:val="1"/>
        </w:numPr>
      </w:pPr>
      <w:proofErr w:type="spellStart"/>
      <w:r>
        <w:t>Rufiniho</w:t>
      </w:r>
      <w:proofErr w:type="spellEnd"/>
      <w:r>
        <w:t xml:space="preserve"> telieska – vnímanie tepla</w:t>
      </w:r>
    </w:p>
    <w:p w14:paraId="6801E58F" w14:textId="07FE7945" w:rsidR="00EB290D" w:rsidRDefault="00EB290D" w:rsidP="00EB290D">
      <w:pPr>
        <w:pStyle w:val="Odsekzoznamu"/>
        <w:numPr>
          <w:ilvl w:val="2"/>
          <w:numId w:val="1"/>
        </w:numPr>
      </w:pPr>
      <w:proofErr w:type="spellStart"/>
      <w:r>
        <w:t>Meisnerove</w:t>
      </w:r>
      <w:proofErr w:type="spellEnd"/>
      <w:r>
        <w:t xml:space="preserve"> telieska – vnímanie hmatu </w:t>
      </w:r>
    </w:p>
    <w:p w14:paraId="487F0E4E" w14:textId="0CE01BCB" w:rsidR="00EB290D" w:rsidRDefault="00EB290D" w:rsidP="00EB290D">
      <w:pPr>
        <w:pStyle w:val="Odsekzoznamu"/>
        <w:numPr>
          <w:ilvl w:val="2"/>
          <w:numId w:val="1"/>
        </w:numPr>
      </w:pPr>
      <w:proofErr w:type="spellStart"/>
      <w:r>
        <w:t>Vater-Paciniho</w:t>
      </w:r>
      <w:proofErr w:type="spellEnd"/>
      <w:r>
        <w:t xml:space="preserve"> telieska – vnímanie tlaku </w:t>
      </w:r>
    </w:p>
    <w:p w14:paraId="0C96EC0D" w14:textId="0F64A6B6" w:rsidR="00EB290D" w:rsidRDefault="00EB290D" w:rsidP="00EB290D">
      <w:pPr>
        <w:pStyle w:val="Odsekzoznamu"/>
        <w:numPr>
          <w:ilvl w:val="2"/>
          <w:numId w:val="1"/>
        </w:numPr>
      </w:pPr>
      <w:r>
        <w:t>+ Čuchové, chuťové, zrakové bunky</w:t>
      </w:r>
    </w:p>
    <w:p w14:paraId="235C5C46" w14:textId="5149A007" w:rsidR="00EB290D" w:rsidRDefault="00ED2010" w:rsidP="00ED2010">
      <w:pPr>
        <w:pStyle w:val="Odsekzoznamu"/>
        <w:numPr>
          <w:ilvl w:val="1"/>
          <w:numId w:val="1"/>
        </w:numPr>
      </w:pPr>
      <w:r>
        <w:t> Proprioreceptory – informujú o polohe tela (nachádzajú sa v kĺbových puzdrách / šľachách)</w:t>
      </w:r>
    </w:p>
    <w:p w14:paraId="33357F6F" w14:textId="52C7E530" w:rsidR="00ED2010" w:rsidRPr="00B63465" w:rsidRDefault="00ED2010" w:rsidP="00ED2010">
      <w:pPr>
        <w:pStyle w:val="Odsekzoznamu"/>
        <w:numPr>
          <w:ilvl w:val="1"/>
          <w:numId w:val="1"/>
        </w:numPr>
      </w:pPr>
      <w:r>
        <w:t> Interoreceptory – prijímajú podnety z vnútorného prostredia, sú súčasťou jednotlivých vnútorných orgánov</w:t>
      </w:r>
    </w:p>
    <w:sectPr w:rsidR="00ED2010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446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0D"/>
    <w:rsid w:val="001F40F2"/>
    <w:rsid w:val="003A5040"/>
    <w:rsid w:val="00B63465"/>
    <w:rsid w:val="00C63554"/>
    <w:rsid w:val="00EB290D"/>
    <w:rsid w:val="00ED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99B6"/>
  <w15:chartTrackingRefBased/>
  <w15:docId w15:val="{B2AC2B5F-EF5A-4E7B-AE74-3991E8A1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2023-03-26T18:37:00Z</dcterms:created>
  <dcterms:modified xsi:type="dcterms:W3CDTF">2023-03-26T18:52:00Z</dcterms:modified>
</cp:coreProperties>
</file>