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ADE" w:rsidRPr="00FC21DE" w:rsidRDefault="00693ADE" w:rsidP="00693ADE">
      <w:pPr>
        <w:pStyle w:val="Default"/>
        <w:spacing w:line="276" w:lineRule="auto"/>
        <w:rPr>
          <w:sz w:val="28"/>
          <w:szCs w:val="28"/>
          <w:u w:val="single"/>
        </w:rPr>
      </w:pPr>
      <w:r>
        <w:rPr>
          <w:color w:val="000000" w:themeColor="text1"/>
        </w:rPr>
        <w:t xml:space="preserve">Predmet </w:t>
      </w:r>
      <w:r w:rsidRPr="008F23B6">
        <w:rPr>
          <w:b/>
          <w:color w:val="000000" w:themeColor="text1"/>
        </w:rPr>
        <w:t>Účtovníctvo – UCT</w:t>
      </w:r>
      <w:r>
        <w:rPr>
          <w:color w:val="000000" w:themeColor="text1"/>
        </w:rPr>
        <w:t xml:space="preserve"> III. K – Prosím o doplnenie  a dopísanie poznámok do zošita UCT, prečítať a naučiť sa: </w:t>
      </w:r>
      <w:r w:rsidRPr="00693ADE">
        <w:rPr>
          <w:b/>
          <w:bCs/>
          <w:u w:val="single"/>
        </w:rPr>
        <w:t>Účtovné zápisy a účtovné knihy</w:t>
      </w:r>
      <w:r>
        <w:rPr>
          <w:b/>
          <w:bCs/>
          <w:u w:val="single"/>
        </w:rPr>
        <w:t>;</w:t>
      </w:r>
      <w:r w:rsidRPr="00693ADE">
        <w:rPr>
          <w:color w:val="000000" w:themeColor="text1"/>
        </w:rPr>
        <w:t xml:space="preserve"> </w:t>
      </w:r>
      <w:r w:rsidRPr="00693ADE">
        <w:rPr>
          <w:b/>
          <w:bCs/>
          <w:u w:val="single"/>
        </w:rPr>
        <w:t>Sústavné (systematické) účtovné zápisy – hlavná kniha (HK)</w:t>
      </w:r>
    </w:p>
    <w:p w:rsidR="00693ADE" w:rsidRDefault="00693ADE" w:rsidP="00693AD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. Ďakujem</w:t>
      </w:r>
    </w:p>
    <w:p w:rsidR="00753CDB" w:rsidRPr="00FB58FA" w:rsidRDefault="00753CDB" w:rsidP="00FB58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1B7D" w:rsidRPr="00FB58FA" w:rsidRDefault="00471B7D" w:rsidP="00FB58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1B7D" w:rsidRPr="00FB58FA" w:rsidRDefault="00471B7D" w:rsidP="00FB58FA">
      <w:pPr>
        <w:pStyle w:val="Default"/>
        <w:rPr>
          <w:sz w:val="28"/>
          <w:szCs w:val="28"/>
        </w:rPr>
      </w:pPr>
      <w:r w:rsidRPr="00FB58FA">
        <w:rPr>
          <w:b/>
          <w:bCs/>
        </w:rPr>
        <w:t xml:space="preserve">Tematický celok: </w:t>
      </w:r>
      <w:r w:rsidRPr="00FB58FA">
        <w:rPr>
          <w:b/>
          <w:bCs/>
          <w:sz w:val="28"/>
          <w:szCs w:val="28"/>
          <w:u w:val="single"/>
        </w:rPr>
        <w:t>Účtovné zápisy a účtovné knihy</w:t>
      </w:r>
      <w:r w:rsidRPr="00FB58FA">
        <w:rPr>
          <w:b/>
          <w:bCs/>
          <w:sz w:val="28"/>
          <w:szCs w:val="28"/>
        </w:rPr>
        <w:t xml:space="preserve"> </w:t>
      </w:r>
    </w:p>
    <w:p w:rsidR="00471B7D" w:rsidRPr="00FB58FA" w:rsidRDefault="00471B7D" w:rsidP="00FB58FA">
      <w:pPr>
        <w:pStyle w:val="Default"/>
        <w:rPr>
          <w:u w:val="single"/>
        </w:rPr>
      </w:pPr>
      <w:r w:rsidRPr="00FB58FA">
        <w:rPr>
          <w:b/>
          <w:bCs/>
          <w:sz w:val="28"/>
          <w:szCs w:val="28"/>
          <w:u w:val="single"/>
        </w:rPr>
        <w:t>Účtovné zápisy</w:t>
      </w:r>
    </w:p>
    <w:p w:rsidR="00471B7D" w:rsidRPr="00FB58FA" w:rsidRDefault="00471B7D" w:rsidP="00FB58FA">
      <w:pPr>
        <w:pStyle w:val="Default"/>
      </w:pPr>
      <w:r w:rsidRPr="00FB58FA">
        <w:t xml:space="preserve">– písomné alebo technické zaznamenanie účtovného prípadu, </w:t>
      </w:r>
    </w:p>
    <w:p w:rsidR="00471B7D" w:rsidRPr="00FB58FA" w:rsidRDefault="00471B7D" w:rsidP="00FB58FA">
      <w:pPr>
        <w:pStyle w:val="Default"/>
      </w:pPr>
      <w:r w:rsidRPr="00FB58FA">
        <w:t xml:space="preserve">– robia sa na základe účtovných dokladov </w:t>
      </w:r>
      <w:r w:rsidRPr="00FB58FA">
        <w:rPr>
          <w:b/>
          <w:bCs/>
        </w:rPr>
        <w:t xml:space="preserve">v účtovných knihách, </w:t>
      </w:r>
    </w:p>
    <w:p w:rsidR="00471B7D" w:rsidRPr="00FB58FA" w:rsidRDefault="00471B7D" w:rsidP="00FB58FA">
      <w:pPr>
        <w:pStyle w:val="Default"/>
      </w:pPr>
      <w:r w:rsidRPr="00FB58FA">
        <w:t xml:space="preserve">– musia byť </w:t>
      </w:r>
      <w:r w:rsidRPr="00FB58FA">
        <w:rPr>
          <w:b/>
          <w:bCs/>
        </w:rPr>
        <w:t xml:space="preserve">zrozumiteľné, prehľadné, trvalé a v slovenskom jazyku, </w:t>
      </w:r>
    </w:p>
    <w:p w:rsidR="00471B7D" w:rsidRPr="00FB58FA" w:rsidRDefault="00471B7D" w:rsidP="00FB58FA">
      <w:pPr>
        <w:pStyle w:val="Default"/>
      </w:pPr>
      <w:r w:rsidRPr="00FB58FA">
        <w:t>– sa nesmú neoprávnene zmeniť, upravovať, gumovať</w:t>
      </w:r>
      <w:r w:rsidR="00FC21DE">
        <w:t>.</w:t>
      </w:r>
      <w:r w:rsidRPr="00FB58FA">
        <w:t xml:space="preserve"> </w:t>
      </w:r>
    </w:p>
    <w:p w:rsidR="00471B7D" w:rsidRPr="00FB58FA" w:rsidRDefault="00471B7D" w:rsidP="00FB58FA">
      <w:pPr>
        <w:pStyle w:val="Default"/>
      </w:pPr>
    </w:p>
    <w:p w:rsidR="00471B7D" w:rsidRPr="00FB58FA" w:rsidRDefault="00471B7D" w:rsidP="00FB58FA">
      <w:pPr>
        <w:pStyle w:val="Default"/>
      </w:pPr>
      <w:r w:rsidRPr="00FB58FA">
        <w:t xml:space="preserve">Zaúčtovanie všetkých účtovných prípadov v účtovnom období sa vykonáva: </w:t>
      </w:r>
    </w:p>
    <w:p w:rsidR="00471B7D" w:rsidRPr="00386794" w:rsidRDefault="00471B7D" w:rsidP="00FB58FA">
      <w:pPr>
        <w:pStyle w:val="Default"/>
        <w:numPr>
          <w:ilvl w:val="0"/>
          <w:numId w:val="1"/>
        </w:numPr>
        <w:rPr>
          <w:highlight w:val="yellow"/>
        </w:rPr>
      </w:pPr>
      <w:r w:rsidRPr="00386794">
        <w:rPr>
          <w:b/>
          <w:bCs/>
          <w:highlight w:val="yellow"/>
        </w:rPr>
        <w:t xml:space="preserve">z </w:t>
      </w:r>
      <w:r w:rsidRPr="00386794">
        <w:rPr>
          <w:b/>
          <w:bCs/>
          <w:highlight w:val="yellow"/>
          <w:u w:val="single"/>
        </w:rPr>
        <w:t>časového hľadiska</w:t>
      </w:r>
      <w:r w:rsidRPr="00386794">
        <w:rPr>
          <w:b/>
          <w:bCs/>
          <w:highlight w:val="yellow"/>
        </w:rPr>
        <w:t xml:space="preserve"> (chronologicky) – v </w:t>
      </w:r>
      <w:r w:rsidRPr="00386794">
        <w:rPr>
          <w:b/>
          <w:bCs/>
          <w:highlight w:val="yellow"/>
          <w:u w:val="single"/>
        </w:rPr>
        <w:t>denníku</w:t>
      </w:r>
      <w:r w:rsidRPr="00386794">
        <w:rPr>
          <w:b/>
          <w:bCs/>
          <w:highlight w:val="yellow"/>
        </w:rPr>
        <w:t xml:space="preserve">, </w:t>
      </w:r>
    </w:p>
    <w:p w:rsidR="00471B7D" w:rsidRPr="00386794" w:rsidRDefault="00471B7D" w:rsidP="00FB58FA">
      <w:pPr>
        <w:pStyle w:val="Default"/>
        <w:numPr>
          <w:ilvl w:val="0"/>
          <w:numId w:val="1"/>
        </w:numPr>
        <w:rPr>
          <w:highlight w:val="yellow"/>
          <w:u w:val="single"/>
        </w:rPr>
      </w:pPr>
      <w:r w:rsidRPr="00386794">
        <w:rPr>
          <w:b/>
          <w:bCs/>
          <w:highlight w:val="yellow"/>
        </w:rPr>
        <w:t xml:space="preserve">z </w:t>
      </w:r>
      <w:r w:rsidRPr="00386794">
        <w:rPr>
          <w:b/>
          <w:bCs/>
          <w:highlight w:val="yellow"/>
          <w:u w:val="single"/>
        </w:rPr>
        <w:t>vecného hľadiska</w:t>
      </w:r>
      <w:r w:rsidRPr="00386794">
        <w:rPr>
          <w:b/>
          <w:bCs/>
          <w:highlight w:val="yellow"/>
        </w:rPr>
        <w:t xml:space="preserve"> (systematicky) – v </w:t>
      </w:r>
      <w:r w:rsidRPr="00386794">
        <w:rPr>
          <w:b/>
          <w:bCs/>
          <w:highlight w:val="yellow"/>
          <w:u w:val="single"/>
        </w:rPr>
        <w:t>hlavnej knihe</w:t>
      </w:r>
      <w:r w:rsidR="00FC21DE" w:rsidRPr="00386794">
        <w:rPr>
          <w:b/>
          <w:bCs/>
          <w:highlight w:val="yellow"/>
          <w:u w:val="single"/>
        </w:rPr>
        <w:t>.</w:t>
      </w:r>
      <w:r w:rsidRPr="00386794">
        <w:rPr>
          <w:b/>
          <w:bCs/>
          <w:highlight w:val="yellow"/>
          <w:u w:val="single"/>
        </w:rPr>
        <w:t xml:space="preserve"> </w:t>
      </w:r>
    </w:p>
    <w:p w:rsidR="00471B7D" w:rsidRPr="00FB58FA" w:rsidRDefault="00471B7D" w:rsidP="00FB58F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471B7D" w:rsidRPr="00FB58FA" w:rsidRDefault="00471B7D" w:rsidP="00FB58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1B7D" w:rsidRPr="00FC21DE" w:rsidRDefault="00471B7D" w:rsidP="00386794">
      <w:pPr>
        <w:pStyle w:val="Default"/>
        <w:spacing w:line="276" w:lineRule="auto"/>
        <w:rPr>
          <w:sz w:val="28"/>
          <w:szCs w:val="28"/>
          <w:u w:val="single"/>
        </w:rPr>
      </w:pPr>
      <w:r w:rsidRPr="00FB58FA">
        <w:rPr>
          <w:b/>
          <w:bCs/>
        </w:rPr>
        <w:t>Téma</w:t>
      </w:r>
      <w:r w:rsidRPr="00386794">
        <w:rPr>
          <w:b/>
          <w:bCs/>
          <w:highlight w:val="yellow"/>
        </w:rPr>
        <w:t xml:space="preserve">: </w:t>
      </w:r>
      <w:r w:rsidRPr="00386794">
        <w:rPr>
          <w:b/>
          <w:bCs/>
          <w:sz w:val="28"/>
          <w:szCs w:val="28"/>
          <w:highlight w:val="yellow"/>
          <w:u w:val="single"/>
        </w:rPr>
        <w:t>Sústavné (systematické) účtovné zápisy</w:t>
      </w:r>
      <w:r w:rsidRPr="00FC21DE">
        <w:rPr>
          <w:b/>
          <w:bCs/>
          <w:sz w:val="28"/>
          <w:szCs w:val="28"/>
          <w:u w:val="single"/>
        </w:rPr>
        <w:t xml:space="preserve"> – </w:t>
      </w:r>
      <w:r w:rsidRPr="00386794">
        <w:rPr>
          <w:b/>
          <w:bCs/>
          <w:sz w:val="28"/>
          <w:szCs w:val="28"/>
          <w:highlight w:val="yellow"/>
          <w:u w:val="single"/>
        </w:rPr>
        <w:t xml:space="preserve">hlavná kniha </w:t>
      </w:r>
      <w:r w:rsidR="00FB58FA" w:rsidRPr="00386794">
        <w:rPr>
          <w:b/>
          <w:bCs/>
          <w:sz w:val="28"/>
          <w:szCs w:val="28"/>
          <w:highlight w:val="yellow"/>
          <w:u w:val="single"/>
        </w:rPr>
        <w:t>(HK</w:t>
      </w:r>
      <w:r w:rsidR="00FB58FA" w:rsidRPr="00FC21DE">
        <w:rPr>
          <w:b/>
          <w:bCs/>
          <w:sz w:val="28"/>
          <w:szCs w:val="28"/>
          <w:u w:val="single"/>
        </w:rPr>
        <w:t>)</w:t>
      </w:r>
    </w:p>
    <w:p w:rsidR="00471B7D" w:rsidRPr="00FB58FA" w:rsidRDefault="00471B7D" w:rsidP="00386794">
      <w:pPr>
        <w:pStyle w:val="Default"/>
        <w:numPr>
          <w:ilvl w:val="0"/>
          <w:numId w:val="3"/>
        </w:numPr>
        <w:spacing w:line="276" w:lineRule="auto"/>
      </w:pPr>
      <w:r w:rsidRPr="00FB58FA">
        <w:t xml:space="preserve">všetky účtovné zápisy z vecného hľadiska sú usporiadané v hlavnej knihe, </w:t>
      </w:r>
    </w:p>
    <w:p w:rsidR="00471B7D" w:rsidRPr="00FB58FA" w:rsidRDefault="00471B7D" w:rsidP="00386794">
      <w:pPr>
        <w:pStyle w:val="Default"/>
        <w:numPr>
          <w:ilvl w:val="0"/>
          <w:numId w:val="3"/>
        </w:numPr>
        <w:spacing w:line="276" w:lineRule="auto"/>
      </w:pPr>
      <w:r w:rsidRPr="00386794">
        <w:rPr>
          <w:b/>
          <w:i/>
          <w:highlight w:val="yellow"/>
          <w:u w:val="single"/>
        </w:rPr>
        <w:t xml:space="preserve">tvoria ju účty aktív, pasív, nákladov, výnosov, ZÚS, KÚS, </w:t>
      </w:r>
      <w:proofErr w:type="spellStart"/>
      <w:r w:rsidRPr="00386794">
        <w:rPr>
          <w:b/>
          <w:i/>
          <w:highlight w:val="yellow"/>
          <w:u w:val="single"/>
        </w:rPr>
        <w:t>ÚZaS</w:t>
      </w:r>
      <w:proofErr w:type="spellEnd"/>
      <w:r w:rsidRPr="00386794">
        <w:rPr>
          <w:highlight w:val="yellow"/>
        </w:rPr>
        <w:t xml:space="preserve">, t. j. </w:t>
      </w:r>
      <w:r w:rsidRPr="00386794">
        <w:rPr>
          <w:highlight w:val="yellow"/>
          <w:u w:val="single"/>
        </w:rPr>
        <w:t xml:space="preserve">ucelená sústava, preto sa účtovné zápisy v HK označujú ako </w:t>
      </w:r>
      <w:r w:rsidRPr="00386794">
        <w:rPr>
          <w:b/>
          <w:bCs/>
          <w:highlight w:val="yellow"/>
          <w:u w:val="single"/>
        </w:rPr>
        <w:t>sústavné (systematické</w:t>
      </w:r>
      <w:r w:rsidRPr="00FC21DE">
        <w:rPr>
          <w:b/>
          <w:bCs/>
          <w:u w:val="single"/>
        </w:rPr>
        <w:t>),</w:t>
      </w:r>
      <w:r w:rsidRPr="00FB58FA">
        <w:rPr>
          <w:b/>
          <w:bCs/>
        </w:rPr>
        <w:t xml:space="preserve"> </w:t>
      </w:r>
    </w:p>
    <w:p w:rsidR="00471B7D" w:rsidRPr="00FB58FA" w:rsidRDefault="00471B7D" w:rsidP="00386794">
      <w:pPr>
        <w:pStyle w:val="Default"/>
        <w:numPr>
          <w:ilvl w:val="0"/>
          <w:numId w:val="3"/>
        </w:numPr>
        <w:spacing w:line="276" w:lineRule="auto"/>
      </w:pPr>
      <w:r w:rsidRPr="00FB58FA">
        <w:t xml:space="preserve">HK sa vedie na voľných listoch (ručne) alebo na zostavách (výpočtovou technikou), </w:t>
      </w:r>
    </w:p>
    <w:p w:rsidR="00471B7D" w:rsidRPr="00FB58FA" w:rsidRDefault="00471B7D" w:rsidP="00386794">
      <w:pPr>
        <w:pStyle w:val="Default"/>
        <w:numPr>
          <w:ilvl w:val="0"/>
          <w:numId w:val="3"/>
        </w:numPr>
        <w:spacing w:line="276" w:lineRule="auto"/>
      </w:pPr>
      <w:r w:rsidRPr="00FB58FA">
        <w:t>účty HK sa otvárajú k 1.</w:t>
      </w:r>
      <w:r w:rsidR="00FC21DE">
        <w:t xml:space="preserve"> </w:t>
      </w:r>
      <w:r w:rsidRPr="00FB58FA">
        <w:t xml:space="preserve">dňu účtovného obdobia podvojnými zápismi, </w:t>
      </w:r>
    </w:p>
    <w:p w:rsidR="00471B7D" w:rsidRPr="00FB58FA" w:rsidRDefault="00471B7D" w:rsidP="00386794">
      <w:pPr>
        <w:pStyle w:val="Default"/>
        <w:numPr>
          <w:ilvl w:val="0"/>
          <w:numId w:val="3"/>
        </w:numPr>
        <w:spacing w:line="276" w:lineRule="auto"/>
      </w:pPr>
      <w:r w:rsidRPr="00FB58FA">
        <w:t xml:space="preserve">obsahuje okrem ZS, KZ aj obraty MD a D za každý kalendárny mesiac, </w:t>
      </w:r>
    </w:p>
    <w:p w:rsidR="00471B7D" w:rsidRPr="00FB58FA" w:rsidRDefault="00471B7D" w:rsidP="00386794">
      <w:pPr>
        <w:pStyle w:val="Default"/>
        <w:numPr>
          <w:ilvl w:val="0"/>
          <w:numId w:val="3"/>
        </w:numPr>
        <w:spacing w:line="276" w:lineRule="auto"/>
      </w:pPr>
      <w:r w:rsidRPr="00FB58FA">
        <w:t xml:space="preserve">každý účet HK musí byť označený číselne aj slovne </w:t>
      </w:r>
    </w:p>
    <w:p w:rsidR="00471B7D" w:rsidRPr="00FB58FA" w:rsidRDefault="00471B7D" w:rsidP="00FB58FA">
      <w:pPr>
        <w:pStyle w:val="Default"/>
      </w:pPr>
    </w:p>
    <w:p w:rsidR="00471B7D" w:rsidRPr="00FB58FA" w:rsidRDefault="00471B7D" w:rsidP="00FB58FA">
      <w:pPr>
        <w:pStyle w:val="Default"/>
      </w:pPr>
      <w:r w:rsidRPr="00386794">
        <w:rPr>
          <w:b/>
          <w:bCs/>
          <w:sz w:val="28"/>
          <w:szCs w:val="28"/>
          <w:highlight w:val="yellow"/>
          <w:u w:val="single"/>
        </w:rPr>
        <w:t xml:space="preserve">Účtovné zápisy na účty </w:t>
      </w:r>
      <w:r w:rsidR="00FC21DE" w:rsidRPr="00386794">
        <w:rPr>
          <w:b/>
          <w:bCs/>
          <w:sz w:val="28"/>
          <w:szCs w:val="28"/>
          <w:highlight w:val="yellow"/>
          <w:u w:val="single"/>
        </w:rPr>
        <w:t>hlavnej knihy (</w:t>
      </w:r>
      <w:r w:rsidRPr="00386794">
        <w:rPr>
          <w:b/>
          <w:bCs/>
          <w:sz w:val="28"/>
          <w:szCs w:val="28"/>
          <w:highlight w:val="yellow"/>
          <w:u w:val="single"/>
        </w:rPr>
        <w:t>HK</w:t>
      </w:r>
      <w:r w:rsidR="00FC21DE" w:rsidRPr="00386794">
        <w:rPr>
          <w:b/>
          <w:bCs/>
          <w:sz w:val="28"/>
          <w:szCs w:val="28"/>
          <w:highlight w:val="yellow"/>
          <w:u w:val="single"/>
        </w:rPr>
        <w:t>)</w:t>
      </w:r>
      <w:r w:rsidRPr="00386794">
        <w:rPr>
          <w:b/>
          <w:bCs/>
          <w:sz w:val="28"/>
          <w:szCs w:val="28"/>
          <w:highlight w:val="yellow"/>
          <w:u w:val="single"/>
        </w:rPr>
        <w:t xml:space="preserve"> uskutočňujeme vo vecnom usporiadaní pr</w:t>
      </w:r>
      <w:r w:rsidR="00FC21DE" w:rsidRPr="00386794">
        <w:rPr>
          <w:b/>
          <w:bCs/>
          <w:sz w:val="28"/>
          <w:szCs w:val="28"/>
          <w:highlight w:val="yellow"/>
          <w:u w:val="single"/>
        </w:rPr>
        <w:t>i zohľadnení časového hľadiska</w:t>
      </w:r>
      <w:r w:rsidR="00FC21DE">
        <w:rPr>
          <w:b/>
          <w:bCs/>
        </w:rPr>
        <w:t>.</w:t>
      </w:r>
    </w:p>
    <w:p w:rsidR="00471B7D" w:rsidRPr="00FB58FA" w:rsidRDefault="00471B7D" w:rsidP="00FB58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8FA">
        <w:rPr>
          <w:rFonts w:ascii="Times New Roman" w:hAnsi="Times New Roman" w:cs="Times New Roman"/>
          <w:sz w:val="24"/>
          <w:szCs w:val="24"/>
        </w:rPr>
        <w:t>(t. j. najprv zaúčtujeme prípad, ktorý nastal skôr).</w:t>
      </w:r>
    </w:p>
    <w:p w:rsidR="00FC21DE" w:rsidRDefault="00FC21DE" w:rsidP="00FB58FA">
      <w:pPr>
        <w:pStyle w:val="Default"/>
        <w:rPr>
          <w:b/>
          <w:bCs/>
        </w:rPr>
      </w:pPr>
    </w:p>
    <w:p w:rsidR="00471B7D" w:rsidRPr="00FC21DE" w:rsidRDefault="00471B7D" w:rsidP="00FB58FA">
      <w:pPr>
        <w:pStyle w:val="Default"/>
        <w:rPr>
          <w:sz w:val="28"/>
          <w:szCs w:val="28"/>
          <w:u w:val="single"/>
        </w:rPr>
      </w:pPr>
      <w:r w:rsidRPr="00FC21DE">
        <w:rPr>
          <w:b/>
          <w:bCs/>
          <w:sz w:val="28"/>
          <w:szCs w:val="28"/>
          <w:u w:val="single"/>
        </w:rPr>
        <w:t xml:space="preserve">Účtovné zápisy – hlavná kniha </w:t>
      </w:r>
    </w:p>
    <w:p w:rsidR="00471B7D" w:rsidRDefault="00471B7D" w:rsidP="00FB58FA">
      <w:pPr>
        <w:pStyle w:val="Default"/>
        <w:rPr>
          <w:b/>
          <w:bCs/>
        </w:rPr>
      </w:pPr>
      <w:r w:rsidRPr="00FB58FA">
        <w:rPr>
          <w:b/>
          <w:bCs/>
        </w:rPr>
        <w:t xml:space="preserve">Hlavná kniha </w:t>
      </w:r>
      <w:r w:rsidRPr="00FB58FA">
        <w:t>je účtovná kniha, v ktorej sa usporiadajú účtovné zápisy z vecného hľadiska a v ktorej sa preukazuje zaúčtovanie všetkých účtovných prípadov na účty majetku, záväzkov, VI, nákladov a výnosov v účtovnom období</w:t>
      </w:r>
      <w:r w:rsidRPr="00FB58FA">
        <w:rPr>
          <w:b/>
          <w:bCs/>
        </w:rPr>
        <w:t xml:space="preserve">. </w:t>
      </w:r>
    </w:p>
    <w:p w:rsidR="00693ADE" w:rsidRPr="00FB58FA" w:rsidRDefault="00693ADE" w:rsidP="00FB58FA">
      <w:pPr>
        <w:pStyle w:val="Default"/>
      </w:pPr>
    </w:p>
    <w:p w:rsidR="00471B7D" w:rsidRPr="00FB58FA" w:rsidRDefault="00471B7D" w:rsidP="00FB58FA">
      <w:pPr>
        <w:pStyle w:val="Default"/>
      </w:pPr>
      <w:r w:rsidRPr="00FB58FA">
        <w:rPr>
          <w:b/>
          <w:bCs/>
        </w:rPr>
        <w:t>Hlavná kniha musí obsahova</w:t>
      </w:r>
      <w:r w:rsidRPr="00FB58FA">
        <w:t xml:space="preserve">ť </w:t>
      </w:r>
      <w:r w:rsidRPr="00FB58FA">
        <w:rPr>
          <w:b/>
          <w:bCs/>
        </w:rPr>
        <w:t xml:space="preserve">minimálne: </w:t>
      </w:r>
    </w:p>
    <w:p w:rsidR="00471B7D" w:rsidRPr="00FB58FA" w:rsidRDefault="00471B7D" w:rsidP="00FB58FA">
      <w:pPr>
        <w:pStyle w:val="Default"/>
      </w:pPr>
      <w:r w:rsidRPr="00FB58FA">
        <w:t xml:space="preserve">1) Stavy účtov ku dňu, ku ktorému sa otvára hlavná kniha. </w:t>
      </w:r>
    </w:p>
    <w:p w:rsidR="00471B7D" w:rsidRPr="00FB58FA" w:rsidRDefault="00471B7D" w:rsidP="00FB58FA">
      <w:pPr>
        <w:pStyle w:val="Default"/>
      </w:pPr>
      <w:r w:rsidRPr="00FB58FA">
        <w:t xml:space="preserve">2) Súhrnné obraty strany MD a D jednotlivých účtov minimálne za kalendárny mesiac. </w:t>
      </w:r>
    </w:p>
    <w:p w:rsidR="00471B7D" w:rsidRDefault="00471B7D" w:rsidP="00FB58FA">
      <w:pPr>
        <w:pStyle w:val="Default"/>
      </w:pPr>
      <w:r w:rsidRPr="00FB58FA">
        <w:t xml:space="preserve">3) Zostatky a stavy účtov ku dňu, ku ktorému sa zostavuje účtovná závierka. </w:t>
      </w:r>
    </w:p>
    <w:p w:rsidR="00693ADE" w:rsidRPr="00FB58FA" w:rsidRDefault="00693ADE" w:rsidP="00FB58FA">
      <w:pPr>
        <w:pStyle w:val="Default"/>
      </w:pPr>
    </w:p>
    <w:p w:rsidR="00471B7D" w:rsidRPr="00FB58FA" w:rsidRDefault="00471B7D" w:rsidP="00FB58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8FA">
        <w:rPr>
          <w:rFonts w:ascii="Times New Roman" w:hAnsi="Times New Roman" w:cs="Times New Roman"/>
          <w:b/>
          <w:bCs/>
          <w:sz w:val="24"/>
          <w:szCs w:val="24"/>
        </w:rPr>
        <w:t xml:space="preserve">Hlavnú knihu </w:t>
      </w:r>
      <w:r w:rsidRPr="00FB58FA">
        <w:rPr>
          <w:rFonts w:ascii="Times New Roman" w:hAnsi="Times New Roman" w:cs="Times New Roman"/>
          <w:sz w:val="24"/>
          <w:szCs w:val="24"/>
        </w:rPr>
        <w:t xml:space="preserve">tvoria všetky </w:t>
      </w:r>
      <w:r w:rsidRPr="00693ADE">
        <w:rPr>
          <w:rFonts w:ascii="Times New Roman" w:hAnsi="Times New Roman" w:cs="Times New Roman"/>
          <w:b/>
          <w:bCs/>
          <w:sz w:val="24"/>
          <w:szCs w:val="24"/>
          <w:u w:val="single"/>
        </w:rPr>
        <w:t>syntetické a analytické ú</w:t>
      </w:r>
      <w:r w:rsidRPr="00693ADE">
        <w:rPr>
          <w:rFonts w:ascii="Times New Roman" w:hAnsi="Times New Roman" w:cs="Times New Roman"/>
          <w:sz w:val="24"/>
          <w:szCs w:val="24"/>
          <w:u w:val="single"/>
        </w:rPr>
        <w:t>č</w:t>
      </w:r>
      <w:r w:rsidRPr="00693ADE">
        <w:rPr>
          <w:rFonts w:ascii="Times New Roman" w:hAnsi="Times New Roman" w:cs="Times New Roman"/>
          <w:b/>
          <w:bCs/>
          <w:sz w:val="24"/>
          <w:szCs w:val="24"/>
          <w:u w:val="single"/>
        </w:rPr>
        <w:t>ty</w:t>
      </w:r>
      <w:r w:rsidRPr="00FB58FA">
        <w:rPr>
          <w:rFonts w:ascii="Times New Roman" w:hAnsi="Times New Roman" w:cs="Times New Roman"/>
          <w:sz w:val="24"/>
          <w:szCs w:val="24"/>
        </w:rPr>
        <w:t xml:space="preserve">, ktoré účtovná jednotka v účtovnom období používa a sú uvedené v jej </w:t>
      </w:r>
      <w:r w:rsidRPr="00FB58FA">
        <w:rPr>
          <w:rFonts w:ascii="Times New Roman" w:hAnsi="Times New Roman" w:cs="Times New Roman"/>
          <w:b/>
          <w:bCs/>
          <w:sz w:val="24"/>
          <w:szCs w:val="24"/>
        </w:rPr>
        <w:t>ú</w:t>
      </w:r>
      <w:r w:rsidRPr="00FB58FA">
        <w:rPr>
          <w:rFonts w:ascii="Times New Roman" w:hAnsi="Times New Roman" w:cs="Times New Roman"/>
          <w:sz w:val="24"/>
          <w:szCs w:val="24"/>
        </w:rPr>
        <w:t>č</w:t>
      </w:r>
      <w:r w:rsidRPr="00FB58FA">
        <w:rPr>
          <w:rFonts w:ascii="Times New Roman" w:hAnsi="Times New Roman" w:cs="Times New Roman"/>
          <w:b/>
          <w:bCs/>
          <w:sz w:val="24"/>
          <w:szCs w:val="24"/>
        </w:rPr>
        <w:t>tovom rozvrhu</w:t>
      </w:r>
      <w:r w:rsidRPr="00FB58FA">
        <w:rPr>
          <w:rFonts w:ascii="Times New Roman" w:hAnsi="Times New Roman" w:cs="Times New Roman"/>
          <w:sz w:val="24"/>
          <w:szCs w:val="24"/>
        </w:rPr>
        <w:t xml:space="preserve">. Účtovná jednotka </w:t>
      </w:r>
      <w:r w:rsidRPr="00FB58FA">
        <w:rPr>
          <w:rFonts w:ascii="Times New Roman" w:hAnsi="Times New Roman" w:cs="Times New Roman"/>
          <w:b/>
          <w:bCs/>
          <w:sz w:val="24"/>
          <w:szCs w:val="24"/>
        </w:rPr>
        <w:t>nesmie ú</w:t>
      </w:r>
      <w:r w:rsidRPr="00FB58FA">
        <w:rPr>
          <w:rFonts w:ascii="Times New Roman" w:hAnsi="Times New Roman" w:cs="Times New Roman"/>
          <w:sz w:val="24"/>
          <w:szCs w:val="24"/>
        </w:rPr>
        <w:t>č</w:t>
      </w:r>
      <w:r w:rsidRPr="00FB58FA">
        <w:rPr>
          <w:rFonts w:ascii="Times New Roman" w:hAnsi="Times New Roman" w:cs="Times New Roman"/>
          <w:b/>
          <w:bCs/>
          <w:sz w:val="24"/>
          <w:szCs w:val="24"/>
        </w:rPr>
        <w:t>tova</w:t>
      </w:r>
      <w:r w:rsidRPr="00FB58FA">
        <w:rPr>
          <w:rFonts w:ascii="Times New Roman" w:hAnsi="Times New Roman" w:cs="Times New Roman"/>
          <w:sz w:val="24"/>
          <w:szCs w:val="24"/>
        </w:rPr>
        <w:t xml:space="preserve">ť na účtoch, ktoré </w:t>
      </w:r>
      <w:r w:rsidRPr="00FB58FA">
        <w:rPr>
          <w:rFonts w:ascii="Times New Roman" w:hAnsi="Times New Roman" w:cs="Times New Roman"/>
          <w:b/>
          <w:bCs/>
          <w:sz w:val="24"/>
          <w:szCs w:val="24"/>
        </w:rPr>
        <w:t xml:space="preserve">nie sú </w:t>
      </w:r>
      <w:r w:rsidRPr="00FB58FA">
        <w:rPr>
          <w:rFonts w:ascii="Times New Roman" w:hAnsi="Times New Roman" w:cs="Times New Roman"/>
          <w:sz w:val="24"/>
          <w:szCs w:val="24"/>
        </w:rPr>
        <w:t xml:space="preserve">uvedené v </w:t>
      </w:r>
      <w:r w:rsidRPr="00FB58FA">
        <w:rPr>
          <w:rFonts w:ascii="Times New Roman" w:hAnsi="Times New Roman" w:cs="Times New Roman"/>
          <w:b/>
          <w:bCs/>
          <w:sz w:val="24"/>
          <w:szCs w:val="24"/>
        </w:rPr>
        <w:t>ú</w:t>
      </w:r>
      <w:r w:rsidRPr="00FB58FA">
        <w:rPr>
          <w:rFonts w:ascii="Times New Roman" w:hAnsi="Times New Roman" w:cs="Times New Roman"/>
          <w:sz w:val="24"/>
          <w:szCs w:val="24"/>
        </w:rPr>
        <w:t>č</w:t>
      </w:r>
      <w:r w:rsidRPr="00FB58FA">
        <w:rPr>
          <w:rFonts w:ascii="Times New Roman" w:hAnsi="Times New Roman" w:cs="Times New Roman"/>
          <w:b/>
          <w:bCs/>
          <w:sz w:val="24"/>
          <w:szCs w:val="24"/>
        </w:rPr>
        <w:t xml:space="preserve">tovom rozvrhu </w:t>
      </w:r>
      <w:r w:rsidRPr="00FB58FA">
        <w:rPr>
          <w:rFonts w:ascii="Times New Roman" w:hAnsi="Times New Roman" w:cs="Times New Roman"/>
          <w:sz w:val="24"/>
          <w:szCs w:val="24"/>
        </w:rPr>
        <w:t xml:space="preserve">a </w:t>
      </w:r>
      <w:r w:rsidRPr="00FB58FA">
        <w:rPr>
          <w:rFonts w:ascii="Times New Roman" w:hAnsi="Times New Roman" w:cs="Times New Roman"/>
          <w:b/>
          <w:bCs/>
          <w:sz w:val="24"/>
          <w:szCs w:val="24"/>
        </w:rPr>
        <w:t xml:space="preserve">nesmie </w:t>
      </w:r>
      <w:r w:rsidRPr="00FB58FA">
        <w:rPr>
          <w:rFonts w:ascii="Times New Roman" w:hAnsi="Times New Roman" w:cs="Times New Roman"/>
          <w:sz w:val="24"/>
          <w:szCs w:val="24"/>
        </w:rPr>
        <w:t xml:space="preserve">zriaďovať účty </w:t>
      </w:r>
      <w:r w:rsidRPr="00FB58FA">
        <w:rPr>
          <w:rFonts w:ascii="Times New Roman" w:hAnsi="Times New Roman" w:cs="Times New Roman"/>
          <w:b/>
          <w:bCs/>
          <w:sz w:val="24"/>
          <w:szCs w:val="24"/>
        </w:rPr>
        <w:t xml:space="preserve">mimo </w:t>
      </w:r>
      <w:bookmarkStart w:id="0" w:name="_GoBack"/>
      <w:bookmarkEnd w:id="0"/>
      <w:r w:rsidRPr="00FB58FA">
        <w:rPr>
          <w:rFonts w:ascii="Times New Roman" w:hAnsi="Times New Roman" w:cs="Times New Roman"/>
          <w:sz w:val="24"/>
          <w:szCs w:val="24"/>
        </w:rPr>
        <w:t>účtovných kníh.</w:t>
      </w:r>
    </w:p>
    <w:sectPr w:rsidR="00471B7D" w:rsidRPr="00FB58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B0CF1"/>
    <w:multiLevelType w:val="hybridMultilevel"/>
    <w:tmpl w:val="D0584426"/>
    <w:lvl w:ilvl="0" w:tplc="45AEB5B0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A1E58"/>
    <w:multiLevelType w:val="hybridMultilevel"/>
    <w:tmpl w:val="B838ADE8"/>
    <w:lvl w:ilvl="0" w:tplc="64B266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CF3826"/>
    <w:multiLevelType w:val="hybridMultilevel"/>
    <w:tmpl w:val="10A4AACC"/>
    <w:lvl w:ilvl="0" w:tplc="6A2CAE60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A31D23"/>
    <w:multiLevelType w:val="hybridMultilevel"/>
    <w:tmpl w:val="FD7C36A4"/>
    <w:lvl w:ilvl="0" w:tplc="64B266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B7D"/>
    <w:rsid w:val="001A03B8"/>
    <w:rsid w:val="00386794"/>
    <w:rsid w:val="00471B7D"/>
    <w:rsid w:val="00693ADE"/>
    <w:rsid w:val="00753CDB"/>
    <w:rsid w:val="00FB58FA"/>
    <w:rsid w:val="00FC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5B43E9-FC78-4312-9C0A-AE78591DE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471B7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SOŠ železničná, Košice</Company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Používateľ</dc:creator>
  <cp:keywords/>
  <dc:description/>
  <cp:lastModifiedBy>Miroslav Medvec</cp:lastModifiedBy>
  <cp:revision>2</cp:revision>
  <dcterms:created xsi:type="dcterms:W3CDTF">2020-10-20T12:44:00Z</dcterms:created>
  <dcterms:modified xsi:type="dcterms:W3CDTF">2020-10-20T12:44:00Z</dcterms:modified>
</cp:coreProperties>
</file>