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Organizácia na úrovni atómov a molekúl</w:t>
      </w:r>
      <w:r>
        <w:rPr>
          <w:rFonts w:hint="default" w:ascii="Times New Roman" w:hAnsi="Times New Roman" w:cs="Times New Roman"/>
          <w:sz w:val="22"/>
          <w:szCs w:val="22"/>
          <w:lang w:val="sk-SK"/>
        </w:rPr>
        <w:t xml:space="preserve"> (mikroelementy, makroelementy, voda, minerálne látky, lipidy, proteíny, sacharidy, nukleové kyseliny)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- 50 otázok TEST (26 bodov)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sz w:val="22"/>
          <w:szCs w:val="22"/>
          <w:lang w:val="sk-SK"/>
        </w:rPr>
        <w:t>- predtermín, posledná prednáška (18.12)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sk-SK"/>
        </w:rPr>
        <w:t>CYTOLÓGIA</w:t>
      </w:r>
      <w:bookmarkEnd w:id="0"/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gr.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 xml:space="preserve">kytos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malý ohraničený celok,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 xml:space="preserve">logos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veda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(1. polovica 19.storočia)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náuka o bunke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je súčasťou bunkovej biológie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prekrýva sa: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morfológia, fyziológia, chémia, biochémia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zakladatelia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J. Schlieden, T. Schwann, J.E. Purkyňe (1837-1839 - bunková teória)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skúma: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veľkosť, tvar, štruktúru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funkciu, rozmnožovanie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starnutie a odumieranie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delenie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molekulárna cytológia (činnosť buniek na molekulovej úrovni)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cytomorfológia (štruktúra a zložka buniek)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cytofyziológia (činnosť buniek, ich deje a funkcie, rast a delenie buniek)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cytopatológia (ultraštruktúra, tvar a zmeny za chorobných/experimentálnych podmienok)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HISTÓRIA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zostrojenie jednotlivých mikroskopov v 17. storočí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výroba šošoviek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bratia Hans a Zacharis Jassenovci (1550): húsiči skla, prvé mikroskopy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Galileo Galilei (1564-1642)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Francisco Stelluti (1630)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Marcelo Malpighi, Nehemiah Grew (1660)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R. Brown (1831)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F. Fontana (1730-1805): mytóza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R. Hooke (1665)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prvýkrát opísal bunku (pozorvanie mŕtvych buniek)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skúmal korok (kôra stromu) prostredníctvom mikroskopu, bunky pozostávali z malých komôrok, boli však neživé (bunkové steny)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Anton van Leeuwenhoek (1675)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prvý raz pozoroval živé bunky, fanatický pozorovateľ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objav prvokov, baktérií, spermií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začiatok mikrobiológe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mikroskop zväčšoval 300x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 danom čase nikto nemal takýcto mikroskop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Henri Milne-Edwards (1823) a Henri Dutrochet (1824)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hlbšie poznatky, francúzski biológovia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prehlasujú bunku za univerzálnu jednotku života, na základe svojich pozorovaní a pozorovaní iných vedcov vyvodili tento záver a že všetky živé veci sú zložené z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sú základom pre bunkovú teóriu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Jan Evangelista Purkyňe (1837)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jeho práca sa zhodovala s ich závermi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živočíšna bunka je zrniečko s obsahom jadra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aj R pletivá sa skladajú z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prispel do histológie, ako prvý použil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 xml:space="preserve">mikrotón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(zariadenie, ktoré umožňuje robiť ultratenké rezy pletív zafixované a zaliate do parafínovch voskov)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Matthias Schleiden (1838) a Theodor Schwann (1839)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botanik, zoológ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R a Ž bunka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 článkoch písali o veciach, na ktoré prišli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bunka bola univerzána jednotka všetkých živých tkanív, pletív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bunky vznikajú delením už existujúcich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bunková teória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R. Virchov (1855)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pridal niečo viac k bunkovej teórii, tvrdí, že bunkové delenie závisí od delenia jadra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sk-SK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omnis celula e celula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- každá bunka vzniká z bunky)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bunka je základná jednotka štruktúry a funkcie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Max Schultze (1861)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zdokonaľovala sa mikroskopia, zdokonaľovali sa závery bunkovej teórie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bunka je hlúčik protoplazmy obdarený všetkými vlastnosťami života a obsahujúci jadro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E. Grundmann (1964)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bunka je najmenšia funkčná jednotka živej hmoty, zložená z častí, ktoré sú vo vzájomnej rovnováhe a spĺňajú kritériá prejavu života - metabolizmus, rozmnožovanie a dráždivosť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sk-SK"/>
        </w:rPr>
        <w:t>BUNKA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základná stavebná jednotka živej hmoty, základná jednotka života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malá, membránou ohraničená jednotka, naplnená koncentrovaným vodným roztokom chem.zlúčenín a vybavené schopnosťou vytvárať kópie samej seba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nemusia sa vyskytovať vždy naraz</w:t>
      </w: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5 základných prejavov života: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rozmnožovanie</w:t>
      </w:r>
    </w:p>
    <w:p>
      <w:pPr>
        <w:ind w:leftChars="1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diferenciácia</w:t>
      </w:r>
    </w:p>
    <w:p>
      <w:pPr>
        <w:ind w:leftChars="1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rast (prijíma a spotrebúva živiny)</w:t>
      </w:r>
    </w:p>
    <w:p>
      <w:pPr>
        <w:ind w:leftChars="1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metabolizmus</w:t>
      </w:r>
    </w:p>
    <w:p>
      <w:pPr>
        <w:ind w:leftChars="1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pohyblivosť (u prvokov je to na inej úrovni ako u buniek v pletivách a tkanivách, Vn pohyblivosť)</w:t>
      </w:r>
    </w:p>
    <w:p>
      <w:pPr>
        <w:ind w:leftChars="1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dráždivosť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izolované bunky sú najjednoduchšia forma života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vyššie organizmy - rozsiahle bunkové mestá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nič menšie ako je bunka nemôže byť nazvané živým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vírusy obsahujú niektoré rovnaké typy molekúl ako bunky, ale nemajú bunkovú štruktúru a schopnosť rozmnožovať sa vlastných úsilím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sk-SK"/>
        </w:rPr>
        <w:t>Funkcie bunky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rozhodujúce činiteľe pre funkciu bunky: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množstvo E a surovín</w:t>
      </w:r>
    </w:p>
    <w:p>
      <w:pPr>
        <w:ind w:leftChars="18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informácie zakódované v génoch</w:t>
      </w:r>
    </w:p>
    <w:p>
      <w:pPr>
        <w:ind w:leftChars="18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Vn a Vo faktory (ovplyvňujú prístup ku genetickej informácii)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hlavné funcie bunky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diferenciácia buniek</w:t>
      </w:r>
    </w:p>
    <w:p>
      <w:pPr>
        <w:ind w:leftChars="10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medzibunková komunikácia</w:t>
      </w:r>
    </w:p>
    <w:p>
      <w:pPr>
        <w:ind w:leftChars="10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adhézia buniek</w:t>
      </w:r>
    </w:p>
    <w:p>
      <w:pPr>
        <w:ind w:leftChars="10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sk-SK"/>
        </w:rPr>
        <w:t>=&gt; diferenciácia buniek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dochádza k nej v priebehu fylogenézy, starnutia, dospievania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je to séria jednotlivých krokov medzi bunkovými cyklami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upresnenie štruktúry a funkcie buniek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sprievodné javy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ak sa bunka diferencuje, delí sa menej často, má menej schopností, a tie, ktoré jej ostali sú účinnejšie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k diferenciácii nedochádza náhle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vieme ju odvodiť od buniek, ktoré obsahuje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najnápadnejšími zmenami sú zmeny na expresii génov</w:t>
      </w:r>
    </w:p>
    <w:p>
      <w:pPr>
        <w:ind w:left="0"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=&gt; medzibunková komunikácia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pre spevnenie komplexných funkcíí je nutná komunikácia súborov buniek v tkanivách, orgánoch a orgánových sústavách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komunikačná stratégia sa vytvára už v skorej embryogenéze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mnoho typov medzibunkovej komunikácie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priama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: 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prenos signálov vyžaduje dočastný fyzický kontakt buniek, trvalý alebo dočastný, zavisí od tkaniva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oblasti kontaktu sa vyznačujú špecializovanými štruktúrami bunkovej membrány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spojovacie komplexy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spojovacie komplexy pre prepojenie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fyzická komunikácia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spojovacie komplexy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 xml:space="preserve">nexy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kanály pre prenos el. a chem. signálov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nepriama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prenášanie signálov z bunky na bunku, aj keď bunky nie sú v kontakte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hormóny, rastové faktory signálnych molekúl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=&gt; adhézia buniek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mnohé funcie bunky závisia na adhézii buniek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dochádza medzi sebou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spojenie medzi cytoskeletom susednch buniek 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= intercelulárne väžby sprostreekované transmembránovými proteínimi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kadheríny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kadheríny pripojené k cytoskeletu prostredníctvom adaptovaných proteínov</w:t>
      </w:r>
    </w:p>
    <w:p>
      <w:pPr>
        <w:ind w:leftChars="3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adhézia bunky k substrátu - väzba medzi cytoskeletom kolagénovými vláknami a extracelulárnej matrix -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integríny</w:t>
      </w:r>
    </w:p>
    <w:p>
      <w:pPr>
        <w:ind w:leftChars="4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integríny pripojené k cytoskeletu (resp. extracelulárnej matrix) prostredníctvom adaptovaných proteínov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  <w:t>Úrovne pozorovania buniek</w:t>
      </w:r>
    </w:p>
    <w:p>
      <w:pPr>
        <w:ind w:leftChars="1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1. Makroskopická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mnohobunkové organizmy a orgány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pozorovací prístroj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oko (rozlišovacia schopnosť 0,2mm)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disciplíny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morfológia, makroskopická anatómia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2. Mikroskopická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bunky (0,2mm-0,2</w:t>
      </w:r>
      <w:r>
        <w:t>μ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10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pozorovací prístroj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rôzne druhy mikroskopov (7 typov vedieť)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disciplíny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časť cytológie, histológia (mikroskopická anatómia)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3. Submikroskopická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bunkové štruktúry, makromolekuly, nadmolekulové komplexy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veľkosť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: 0,2 </w:t>
      </w:r>
      <w:r>
        <w:t>μ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m. - 0,2-0,5 nm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pozorovací prístroj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elektrónový mikroskop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disciplíny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cytológia, časť molekulovej biológie</w:t>
      </w:r>
    </w:p>
    <w:p>
      <w:pPr>
        <w:ind w:leftChars="1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4. Amikroskopická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molekuly, atómy a ich častice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rontgenova štruktúrna analýza, F-CH metódy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veľkosť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0,2 - 0,5 nm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disciplíny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fyzikálna chémia, biofyzika, molekulárna biológia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- svetelným mikroskopom pozorujeme iba mikrometre, nie nanometre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  <w:t>Metódy skúmania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bunkové, tkanivové a orgánové kultúry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izolácia jednotlivých súčastí organizmov za riadených podmienok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 xml:space="preserve">In vitro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v skle (umelé podmienky)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In vivo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- v živom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pozorovanie účinkov rôznych zásahov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štádium embryonálnej diferenciácie a morfogenézy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sk-SK"/>
        </w:rPr>
        <w:t>Pozorovanie štruktúry a funkcie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dostupnosť výberu vhodných metód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jedna metóda je čiastková informácia, dobré je, ak je tých metód viac 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jedna nám nepovie všetko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= viacero metód: stavba, všeobecné i špeciálne procesy v bunke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logické spracovanie čiastkových faktov</w:t>
      </w:r>
    </w:p>
    <w:p>
      <w:pPr>
        <w:ind w:left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1. mikroskopické metódy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štúdium morfológie a fyziológie buniek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dôkaz existencie niektorých organizmov (baktérie, prvoky)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svetelná mikroskopia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elektrónová mikroskopia (neumožňuje pozorovanie živých objektov)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2. fluorescenčná mikroskopia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fluochróm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detekcia primárnej fluorescencie (autofluorescencia) a sekundárnej (umelo vytvorené látky fluoresceín, deriváty akridínu, propídium jodid) 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laser, aby sa vyemitovala fluorescencia 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20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sk-SK"/>
        </w:rPr>
        <w:t>3. konfokálna mikroskopia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vylepšený fluorescenčný mikroskop 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eliminácia svetla pochádzajúceho z tých vrstiev preparátu, ktoré sa nenachádzajú v rovine podľa ostrosti objektívu (vylepšujú obraz)</w:t>
      </w:r>
    </w:p>
    <w:p>
      <w:pPr>
        <w:ind w:leftChars="3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porozuje aj v Z osi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Analýza životnosti buniek (viability)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určenie počtu živých buniek vo vzorke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sledovanie integrity cytoplazmatickej membrány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schopnosť živých buniek eliminovať vitálne farbivo (trypánová modrá, eozín)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pomocou svetelného mikroskopu vieme zistiť počet živých buniek sledovanej vzorky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Stanovenie metabolickej aktivity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kolorimetrické stanovenie premeny tetrazoilových solí (MTT, XTT, WST-1) na ich produkt formazán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Prietoková cytometria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imunofenotypizácia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hydrodynamické zaostrovanie, indukcia a detekcia fluorescencie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excitačný zdroj svetla (laser) a deketory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možnosť sledovania viacerých parametrov naraz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Sortovanie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lymfocyty, monocyty granuloctyy: na základe signálu, el. vodivosti,el. náboja si viem roztriediť jednotlivé do skúmavky a pracovať s nimi samostatne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Imagestream system = mikroskop + cytometer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- každá jedna bunka prechádzajúca laserom je viditeľná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Frakcionácia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dostaneme sa dovnútra bunky ku proteínom, atď.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mechanické rozbíjanie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separácia ich súčastí pomocou centrifugácie (diferenciálna, hustotnom gradiente) pre analýzy el. mikroskopie a biochémie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 xml:space="preserve">Mechanické rozbíjanie: 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používajú sa homogenizátory, osmotický šok, ultrazvuková vibrácia, pretláčanie buniek cez sitká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sk-SK"/>
        </w:rPr>
        <w:t>médium v homogenizačnej nádobe: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 vhodné zloženie iónov bez obsahu zložiek, v ktorých sa izolované štruktúry rozpúštaju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 xml:space="preserve">Diferenciálna centrifugácia: 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rôzne odstredivé sily v rôznych časových intervaloch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oddelenie roztoku (supernatanu) od sedmentu častíc na dne skúmavky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nepresné oddelenie látok s podobnými sedimentačnými vlastnosťami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jadrá, mitochondrie, lyzozómy, mikrozómy (úlomky), ribozómy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 xml:space="preserve">supernant: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Centrufugácia v hustotnom gradiente: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homogenát prevrstvený gradientovým roztokom (sacharózy)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smerom ku dnu skúmavky sa hustota roztoku zvyšuje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odstreďovanie, až kým zložky</w:t>
      </w:r>
    </w:p>
    <w:p>
      <w:pPr>
        <w:ind w:leftChars="1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Separácia buniek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rozrušenie medzibunkovej hmoty a spojení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používajú sa proteolytické enzýmy (trypsín, kolagenéza)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EDTA (etyléndiamíntetraoctová)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získanie suspenzie jednotlivých buniek z tkanív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 xml:space="preserve">Elektroforéza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separácia molekúl (DNA, RNA, proteíny) v el. poli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k-SK"/>
        </w:rPr>
        <w:t>Membránový prenos - blotting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identifikácia molekúl separovaných elektroforézou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nothern blot (RNA)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southern blot (DNA)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- western blot (proteíny)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sk-SK"/>
        </w:rPr>
        <w:t>prenos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: kapilárky (filtračný papier)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elektroforetický (el.prúd)</w:t>
      </w:r>
    </w:p>
    <w:p>
      <w:pPr>
        <w:ind w:leftChars="4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  <w:t>vákuový (vákuová pumpa)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sk-SK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06108"/>
    <w:rsid w:val="005A15CE"/>
    <w:rsid w:val="024F19A5"/>
    <w:rsid w:val="07380F08"/>
    <w:rsid w:val="0E5339D6"/>
    <w:rsid w:val="11631F50"/>
    <w:rsid w:val="11E143AD"/>
    <w:rsid w:val="1A626009"/>
    <w:rsid w:val="1BB06108"/>
    <w:rsid w:val="23455142"/>
    <w:rsid w:val="259C44D5"/>
    <w:rsid w:val="266E66F6"/>
    <w:rsid w:val="276030E4"/>
    <w:rsid w:val="2F843CD9"/>
    <w:rsid w:val="3B7D18ED"/>
    <w:rsid w:val="4239174F"/>
    <w:rsid w:val="45543939"/>
    <w:rsid w:val="47257E60"/>
    <w:rsid w:val="479A4F77"/>
    <w:rsid w:val="50F771E3"/>
    <w:rsid w:val="56384123"/>
    <w:rsid w:val="566102DE"/>
    <w:rsid w:val="58301679"/>
    <w:rsid w:val="5BC74E42"/>
    <w:rsid w:val="5D56455E"/>
    <w:rsid w:val="5E101FA1"/>
    <w:rsid w:val="62DD35D4"/>
    <w:rsid w:val="639465FE"/>
    <w:rsid w:val="690D56F8"/>
    <w:rsid w:val="6A8073EA"/>
    <w:rsid w:val="6BC746AB"/>
    <w:rsid w:val="6BE33423"/>
    <w:rsid w:val="6FFF4252"/>
    <w:rsid w:val="7EA13E10"/>
    <w:rsid w:val="7EFA2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Acronym"/>
    <w:uiPriority w:val="0"/>
  </w:style>
  <w:style w:type="character" w:customStyle="1" w:styleId="6">
    <w:name w:val="sisterproject"/>
    <w:uiPriority w:val="0"/>
    <w:rPr>
      <w:sz w:val="24"/>
      <w:szCs w:val="24"/>
    </w:rPr>
  </w:style>
  <w:style w:type="character" w:customStyle="1" w:styleId="7">
    <w:name w:val="odmocnina"/>
    <w:uiPriority w:val="0"/>
  </w:style>
  <w:style w:type="character" w:customStyle="1" w:styleId="8">
    <w:name w:val="tocnumber"/>
    <w:uiPriority w:val="0"/>
    <w:rPr>
      <w:vanish/>
    </w:rPr>
  </w:style>
  <w:style w:type="character" w:customStyle="1" w:styleId="9">
    <w:name w:val="tocnumber1"/>
    <w:qFormat/>
    <w:uiPriority w:val="0"/>
    <w:rPr>
      <w:vanish/>
    </w:rPr>
  </w:style>
  <w:style w:type="character" w:customStyle="1" w:styleId="10">
    <w:name w:val="varovani"/>
    <w:qFormat/>
    <w:uiPriority w:val="0"/>
    <w:rPr>
      <w:b/>
      <w:color w:val="FFFF00"/>
      <w:shd w:val="clear" w:fill="CC0000"/>
    </w:rPr>
  </w:style>
  <w:style w:type="character" w:customStyle="1" w:styleId="11">
    <w:name w:val="ipa"/>
    <w:qFormat/>
    <w:uiPriority w:val="0"/>
  </w:style>
  <w:style w:type="character" w:customStyle="1" w:styleId="12">
    <w:name w:val="warning"/>
    <w:uiPriority w:val="0"/>
    <w:rPr>
      <w:b/>
      <w:color w:val="FFFF00"/>
      <w:shd w:val="clear" w:fill="CC0000"/>
    </w:rPr>
  </w:style>
  <w:style w:type="character" w:customStyle="1" w:styleId="13">
    <w:name w:val="abbr"/>
    <w:uiPriority w:val="0"/>
  </w:style>
  <w:style w:type="character" w:customStyle="1" w:styleId="14">
    <w:name w:val="souradnice-blok"/>
    <w:qFormat/>
    <w:uiPriority w:val="0"/>
    <w:rPr>
      <w:rFonts w:ascii="monospace" w:hAnsi="monospace" w:eastAsia="monospace" w:cs="monospace"/>
      <w:sz w:val="20"/>
      <w:szCs w:val="20"/>
    </w:rPr>
  </w:style>
  <w:style w:type="character" w:customStyle="1" w:styleId="15">
    <w:name w:val="souradnice-inline"/>
    <w:uiPriority w:val="0"/>
  </w:style>
  <w:style w:type="character" w:customStyle="1" w:styleId="16">
    <w:name w:val="mw-plusminus-neg"/>
    <w:qFormat/>
    <w:uiPriority w:val="0"/>
    <w:rPr>
      <w:color w:val="990000"/>
    </w:rPr>
  </w:style>
  <w:style w:type="character" w:customStyle="1" w:styleId="17">
    <w:name w:val="mw-plusminus-pos"/>
    <w:uiPriority w:val="0"/>
    <w:rPr>
      <w:color w:val="006600"/>
    </w:rPr>
  </w:style>
  <w:style w:type="character" w:customStyle="1" w:styleId="18">
    <w:name w:val="mw-plusminus-null"/>
    <w:qFormat/>
    <w:uiPriority w:val="0"/>
    <w:rPr>
      <w:color w:val="666666"/>
    </w:rPr>
  </w:style>
  <w:style w:type="character" w:customStyle="1" w:styleId="19">
    <w:name w:val="navbox-titletext"/>
    <w:qFormat/>
    <w:uiPriority w:val="0"/>
    <w:rPr>
      <w:sz w:val="24"/>
      <w:szCs w:val="24"/>
    </w:rPr>
  </w:style>
  <w:style w:type="character" w:customStyle="1" w:styleId="20">
    <w:name w:val="navbox-titletext1"/>
    <w:uiPriority w:val="0"/>
    <w:rPr>
      <w:sz w:val="26"/>
      <w:szCs w:val="26"/>
    </w:rPr>
  </w:style>
  <w:style w:type="character" w:customStyle="1" w:styleId="21">
    <w:name w:val="texhtml2"/>
    <w:qFormat/>
    <w:uiPriority w:val="0"/>
    <w:rPr>
      <w:sz w:val="24"/>
      <w:szCs w:val="24"/>
    </w:rPr>
  </w:style>
  <w:style w:type="character" w:customStyle="1" w:styleId="22">
    <w:name w:val="mwe-math-mathml-inline"/>
    <w:uiPriority w:val="0"/>
    <w:rPr>
      <w:sz w:val="28"/>
      <w:szCs w:val="28"/>
    </w:rPr>
  </w:style>
  <w:style w:type="character" w:customStyle="1" w:styleId="23">
    <w:name w:val="flagicon"/>
    <w:uiPriority w:val="0"/>
  </w:style>
  <w:style w:type="character" w:customStyle="1" w:styleId="24">
    <w:name w:val="sisterproject_image"/>
    <w:qFormat/>
    <w:uiPriority w:val="0"/>
  </w:style>
  <w:style w:type="character" w:customStyle="1" w:styleId="25">
    <w:name w:val="souradnice-vesmi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2017-09-24T20:47:00Z</dcterms:created>
  <dc:creator>KarinB</dc:creator>
  <cp:lastModifiedBy>KarinB</cp:lastModifiedBy>
  <dcterms:modified xsi:type="dcterms:W3CDTF">2017-09-27T18:26:12Z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