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77777777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FC57A7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3C526517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  <w:b/>
                <w:bCs/>
              </w:rPr>
              <w:t>Krúžok 1.1.4. Testujme sa v SJL</w:t>
            </w:r>
          </w:p>
        </w:tc>
      </w:tr>
      <w:tr w:rsidR="009B2797" w:rsidRPr="00A944CA" w14:paraId="7932C13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6C8AB983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46AC1" w:rsidRPr="00035339">
              <w:rPr>
                <w:rFonts w:asciiTheme="minorHAnsi" w:hAnsiTheme="minorHAnsi" w:cstheme="minorHAnsi"/>
              </w:rPr>
              <w:t xml:space="preserve"> hod. týždenne ( každý týždeň okrem prázdnin)</w:t>
            </w:r>
          </w:p>
        </w:tc>
      </w:tr>
      <w:tr w:rsidR="00646AC1" w:rsidRPr="00A944CA" w14:paraId="4A810B7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4C9B3DA4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646AC1" w:rsidRPr="00035339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646AC1" w:rsidRPr="00A944CA" w14:paraId="22C6714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7A989AAF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0 hodín</w:t>
            </w:r>
          </w:p>
        </w:tc>
      </w:tr>
      <w:tr w:rsidR="00646AC1" w:rsidRPr="00A944CA" w14:paraId="013567F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4B73312C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646AC1" w:rsidRPr="00035339">
              <w:rPr>
                <w:rFonts w:asciiTheme="minorHAnsi" w:hAnsiTheme="minorHAnsi" w:cstheme="minorHAnsi"/>
              </w:rPr>
              <w:t>0 hodín</w:t>
            </w:r>
          </w:p>
        </w:tc>
      </w:tr>
      <w:tr w:rsidR="00646AC1" w:rsidRPr="00A944CA" w14:paraId="7D36A60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76C748DD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60</w:t>
            </w:r>
            <w:r w:rsidR="00646AC1" w:rsidRPr="00035339">
              <w:rPr>
                <w:rFonts w:asciiTheme="minorHAnsi" w:hAnsiTheme="minorHAnsi" w:cstheme="minorHAnsi"/>
                <w:b/>
                <w:bCs/>
              </w:rPr>
              <w:t xml:space="preserve"> hod.</w:t>
            </w:r>
          </w:p>
        </w:tc>
      </w:tr>
      <w:tr w:rsidR="009B2797" w:rsidRPr="00A944CA" w14:paraId="571D30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10F39816" w:rsidR="009B2797" w:rsidRP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9B2797">
              <w:rPr>
                <w:rFonts w:asciiTheme="minorHAnsi" w:hAnsiTheme="minorHAnsi" w:cstheme="minorHAnsi"/>
              </w:rPr>
              <w:t>žiaci</w:t>
            </w:r>
          </w:p>
        </w:tc>
      </w:tr>
      <w:tr w:rsidR="00646AC1" w:rsidRPr="00A944CA" w14:paraId="2E43B13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0CF7147F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</w:rPr>
              <w:t>IV. ročník osemročného štúdia</w:t>
            </w:r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5B68DBCE" w:rsidR="00035339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32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46B53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2FC" w14:textId="77777777" w:rsidR="00CB1CFB" w:rsidRPr="00CB1CFB" w:rsidRDefault="00CB1CFB" w:rsidP="00CB1CFB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Zariadenie a vybavenie: Notebooky pre žiakov do prenosnej zostavy; Prenosná skrinka na 10 notebookov s možnosťou dobíjania</w:t>
            </w:r>
          </w:p>
          <w:p w14:paraId="25E043B3" w14:textId="360644FD" w:rsidR="00946B53" w:rsidRPr="00035339" w:rsidRDefault="00CB1CFB" w:rsidP="00CB1CFB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bCs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Literatúra: Príprava na testovanie 9 - slovenský jazyk a literatúra</w:t>
            </w:r>
          </w:p>
        </w:tc>
      </w:tr>
      <w:tr w:rsidR="00946B53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26C57EB7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>j čitateľsk</w:t>
            </w:r>
            <w:r>
              <w:rPr>
                <w:rFonts w:asciiTheme="minorHAnsi" w:hAnsiTheme="minorHAnsi" w:cstheme="minorHAnsi"/>
              </w:rPr>
              <w:t xml:space="preserve">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8382" w14:textId="3F051DF4" w:rsidR="00CB1CFB" w:rsidRDefault="00946B5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>rozv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čitateľsk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gramotnos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u 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mladších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žiakov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prostredníctvom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>využiti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 xml:space="preserve">na to špecializovaných 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>testo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vacích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nástrojov </w:t>
            </w:r>
          </w:p>
          <w:p w14:paraId="708A51E2" w14:textId="5CFE4A3F" w:rsidR="00CB1CFB" w:rsidRDefault="00CB1CFB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docielenie pripravenosti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žiakov na externé Testovanie 9 zo slovenského jazyka a literatúry organizované NÚCEM Bratislava</w:t>
            </w:r>
          </w:p>
          <w:p w14:paraId="398D15F7" w14:textId="77777777" w:rsidR="00FD0ED3" w:rsidRPr="00FD0ED3" w:rsidRDefault="00FD0ED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FD0ED3">
              <w:rPr>
                <w:rFonts w:asciiTheme="minorHAnsi" w:hAnsiTheme="minorHAnsi" w:cstheme="minorHAnsi"/>
                <w:sz w:val="20"/>
                <w:szCs w:val="20"/>
              </w:rPr>
              <w:t xml:space="preserve">precvičovanie nadobudnutých vedomostí a zručností prostredníctvom rôznych dostupných  elektronických testovacích nástrojov (napr. program </w:t>
            </w:r>
            <w:r w:rsidRPr="00FD0ED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dodaný škole v rámci projektu E-testovanie 2015 alebo testy sprístupnené na edukačnom portáli Edupage.org) aj papierových (testy z predchádzajúcich ročníkov testovania, testy z rôznych publikácií, vlastné testy).</w:t>
            </w:r>
          </w:p>
          <w:p w14:paraId="46F6BEB2" w14:textId="5B755B2C" w:rsidR="00CB1CFB" w:rsidRPr="00FD0ED3" w:rsidRDefault="00FD0ED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zlepš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enie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schopnos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žiakov správne porozumieť prečítanému textu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analýz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rôznych typov testových úloh a následn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vypracova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nie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riešeni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v súlade s predtým nadobudnutými vedomosťami v predmete SJL.</w:t>
            </w:r>
          </w:p>
        </w:tc>
      </w:tr>
      <w:tr w:rsidR="00986AFD" w:rsidRPr="00A944CA" w14:paraId="3F8C3AA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343927AF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Profil absolventa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02DC" w14:textId="24B9192D" w:rsidR="00227A31" w:rsidRDefault="00986AFD" w:rsidP="00227A31">
            <w:pPr>
              <w:rPr>
                <w:rFonts w:asciiTheme="minorHAnsi" w:hAnsiTheme="minorHAnsi" w:cstheme="minorHAnsi"/>
              </w:rPr>
            </w:pPr>
            <w:r w:rsidRPr="002C1D8C">
              <w:rPr>
                <w:rFonts w:asciiTheme="minorHAnsi" w:hAnsiTheme="minorHAnsi" w:cstheme="minorHAnsi"/>
              </w:rPr>
              <w:t xml:space="preserve">Napr. : Absolvent </w:t>
            </w:r>
            <w:r w:rsidR="0014623E" w:rsidRPr="002C1D8C">
              <w:rPr>
                <w:rFonts w:asciiTheme="minorHAnsi" w:hAnsiTheme="minorHAnsi" w:cstheme="minorHAnsi"/>
              </w:rPr>
              <w:t xml:space="preserve">záujmového krúžku </w:t>
            </w:r>
            <w:r w:rsidR="002C1D8C" w:rsidRPr="00CB1CFB">
              <w:rPr>
                <w:rFonts w:asciiTheme="minorHAnsi" w:hAnsiTheme="minorHAnsi" w:cstheme="minorHAnsi"/>
                <w:b/>
                <w:bCs/>
              </w:rPr>
              <w:t xml:space="preserve"> Testujme sa v SJL</w:t>
            </w:r>
            <w:r w:rsidR="002C1D8C" w:rsidRPr="002C1D8C">
              <w:rPr>
                <w:rFonts w:asciiTheme="minorHAnsi" w:hAnsiTheme="minorHAnsi" w:cstheme="minorHAnsi"/>
              </w:rPr>
              <w:t xml:space="preserve"> </w:t>
            </w:r>
            <w:r w:rsidRPr="002C1D8C">
              <w:rPr>
                <w:rFonts w:asciiTheme="minorHAnsi" w:hAnsiTheme="minorHAnsi" w:cstheme="minorHAnsi"/>
              </w:rPr>
              <w:t>pozná</w:t>
            </w:r>
            <w:r w:rsidR="002C1D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C1D8C">
              <w:rPr>
                <w:rFonts w:asciiTheme="minorHAnsi" w:hAnsiTheme="minorHAnsi" w:cstheme="minorHAnsi"/>
              </w:rPr>
              <w:t>pojmoslovný</w:t>
            </w:r>
            <w:proofErr w:type="spellEnd"/>
            <w:r w:rsidR="002C1D8C">
              <w:rPr>
                <w:rFonts w:asciiTheme="minorHAnsi" w:hAnsiTheme="minorHAnsi" w:cstheme="minorHAnsi"/>
              </w:rPr>
              <w:t xml:space="preserve"> aparát z jednotlivých jazykovedných disciplín, z literárnej teórie a </w:t>
            </w:r>
            <w:r w:rsidR="0014623E" w:rsidRPr="002C1D8C">
              <w:rPr>
                <w:rFonts w:asciiTheme="minorHAnsi" w:hAnsiTheme="minorHAnsi" w:cstheme="minorHAnsi"/>
              </w:rPr>
              <w:t>dokáže</w:t>
            </w:r>
            <w:r w:rsidR="002C1D8C">
              <w:rPr>
                <w:rFonts w:asciiTheme="minorHAnsi" w:hAnsiTheme="minorHAnsi" w:cstheme="minorHAnsi"/>
              </w:rPr>
              <w:t xml:space="preserve"> </w:t>
            </w:r>
            <w:r w:rsidR="00227A31">
              <w:rPr>
                <w:rFonts w:asciiTheme="minorHAnsi" w:hAnsiTheme="minorHAnsi" w:cstheme="minorHAnsi"/>
              </w:rPr>
              <w:t xml:space="preserve">nadobudnuté poznatky </w:t>
            </w:r>
            <w:r w:rsidR="002C1D8C">
              <w:rPr>
                <w:rFonts w:asciiTheme="minorHAnsi" w:hAnsiTheme="minorHAnsi" w:cstheme="minorHAnsi"/>
              </w:rPr>
              <w:t>aplikovať v </w:t>
            </w:r>
            <w:r w:rsidR="00227A31">
              <w:rPr>
                <w:rFonts w:asciiTheme="minorHAnsi" w:hAnsiTheme="minorHAnsi" w:cstheme="minorHAnsi"/>
              </w:rPr>
              <w:t> práci s rôznorodými textami.</w:t>
            </w:r>
          </w:p>
          <w:p w14:paraId="1DDB2D53" w14:textId="77777777" w:rsidR="00986AFD" w:rsidRDefault="00227A31" w:rsidP="00227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prezentovať svoj názor a primerane argumentovať.</w:t>
            </w:r>
          </w:p>
          <w:p w14:paraId="3281FB23" w14:textId="2E2DDED6" w:rsidR="00AA173C" w:rsidRPr="00986AFD" w:rsidRDefault="00AA173C" w:rsidP="00227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Žiak vie čítať s porozumením. </w:t>
            </w:r>
          </w:p>
        </w:tc>
      </w:tr>
      <w:tr w:rsidR="00A2675A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227A31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C4C2CF5" w14:textId="77777777" w:rsidR="007B462A" w:rsidRPr="00227A31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348B9779" w14:textId="77777777" w:rsidR="00A2675A" w:rsidRPr="00227A31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didaktické hry</w:t>
            </w:r>
          </w:p>
          <w:p w14:paraId="0899C0D7" w14:textId="1DA90825" w:rsidR="00A2675A" w:rsidRPr="00A2675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dramatizácia</w:t>
            </w:r>
          </w:p>
        </w:tc>
      </w:tr>
      <w:tr w:rsidR="00986AFD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Doplnkové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215323B4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14:paraId="4A997B5D" w14:textId="75F25894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cvičenie</w:t>
            </w:r>
          </w:p>
          <w:p w14:paraId="7D1E6D88" w14:textId="77777777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707A2AD4" w14:textId="77777777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5B66D31F" w14:textId="77777777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diagnostické a klasifikačné metódy</w:t>
            </w:r>
          </w:p>
          <w:p w14:paraId="7BE875A2" w14:textId="6D3D1BB3" w:rsidR="00986AFD" w:rsidRPr="0014623E" w:rsidRDefault="0014623E" w:rsidP="00227A31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riešenie modelových situáci</w:t>
            </w:r>
            <w:r w:rsidR="00227A31">
              <w:rPr>
                <w:rFonts w:asciiTheme="minorHAnsi" w:hAnsiTheme="minorHAnsi" w:cstheme="minorHAnsi"/>
                <w:sz w:val="20"/>
                <w:szCs w:val="20"/>
              </w:rPr>
              <w:t>í</w:t>
            </w:r>
          </w:p>
        </w:tc>
      </w:tr>
      <w:tr w:rsidR="009B2797" w:rsidRPr="00A944CA" w14:paraId="40571F0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694D4500" w:rsid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vzdelávania, 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postaven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na individuálnom testovaní žiakov</w:t>
            </w:r>
          </w:p>
          <w:p w14:paraId="1930748D" w14:textId="299C8E6E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testovacích nástrojov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01895221" w14:textId="41D0BC1F" w:rsidR="008510C1" w:rsidRPr="00227A31" w:rsidRDefault="008510C1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4F31B0C4" w14:textId="2C836C41" w:rsidR="009B2797" w:rsidRDefault="008510C1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8510C1" w:rsidRPr="00A944CA" w14:paraId="0516514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8510C1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12D41DA9" w14:textId="5EA540A9" w:rsidR="0014623E" w:rsidRPr="00227A31" w:rsidRDefault="008510C1" w:rsidP="00227A3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</w:p>
          <w:p w14:paraId="6AB38C32" w14:textId="04AE8537" w:rsidR="008510C1" w:rsidRPr="008510C1" w:rsidRDefault="0014623E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</w:p>
        </w:tc>
      </w:tr>
    </w:tbl>
    <w:p w14:paraId="29DFEBD4" w14:textId="640A8632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23"/>
        <w:gridCol w:w="6251"/>
        <w:gridCol w:w="1467"/>
      </w:tblGrid>
      <w:tr w:rsidR="00411F0C" w14:paraId="506296AE" w14:textId="77777777" w:rsidTr="00E278B2">
        <w:trPr>
          <w:trHeight w:val="377"/>
          <w:tblHeader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E278B2" w14:paraId="7E40674A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3003AED9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XI. – XII.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808D" w14:textId="5B2A2FBB" w:rsidR="00E278B2" w:rsidRPr="0014623E" w:rsidRDefault="00E278B2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Zvuková a písaná stránka jazyka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55E6A036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13C85662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1857883C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53628DF0" w:rsidR="00E278B2" w:rsidRPr="0014623E" w:rsidRDefault="00E278B2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Lexikológia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646FEDFB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3B5B367C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7112319F" w:rsidR="00E278B2" w:rsidRDefault="00E278B2" w:rsidP="00E278B2">
            <w:pPr>
              <w:rPr>
                <w:rFonts w:cstheme="minorHAnsi"/>
              </w:rPr>
            </w:pPr>
            <w:r w:rsidRPr="002270E2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2270E2">
              <w:rPr>
                <w:rFonts w:cstheme="minorHAnsi"/>
              </w:rPr>
              <w:t xml:space="preserve"> II</w:t>
            </w:r>
            <w:r>
              <w:rPr>
                <w:rFonts w:cstheme="minorHAnsi"/>
              </w:rPr>
              <w:t>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A906" w14:textId="29BF2F67" w:rsidR="00E278B2" w:rsidRPr="0014623E" w:rsidRDefault="00E278B2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Morfológia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3509A335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69CB9915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62069A12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2524A019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4DC6E6BE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259D6A0C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32518160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– IV. 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78EE5B52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Štylistika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628EF398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1E19AF40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2D970D11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IV. - V.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02DAF910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2123EFA1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278B2" w14:paraId="03B25EFD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34AC1C75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V. - VI.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5BC781A9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Literárna teória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7AACAC0E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60"/>
        <w:gridCol w:w="1492"/>
        <w:gridCol w:w="5229"/>
        <w:gridCol w:w="1460"/>
      </w:tblGrid>
      <w:tr w:rsidR="00C31B4E" w14:paraId="6AF50302" w14:textId="7036761D" w:rsidTr="00C31B4E">
        <w:trPr>
          <w:trHeight w:val="377"/>
          <w:tblHeader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681" w14:textId="77777777" w:rsidR="00C31B4E" w:rsidRPr="0014623E" w:rsidRDefault="00C31B4E" w:rsidP="00FD02CD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1C40DB" w14:paraId="203A16E1" w14:textId="58F76C7E" w:rsidTr="001C40DB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55EB" w14:textId="6D438B0E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XI. – XII.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6DF61E85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Zvuková a písaná stránka jazyka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F493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07E88851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7EC247E4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17512D0D" w14:textId="7E4CE611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Ortografické javy – nácvik jednotlivých javov (2)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05B3" w14:textId="6D28176E" w:rsidR="001C40DB" w:rsidRPr="007A7D43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</w:tr>
      <w:tr w:rsidR="001C40DB" w14:paraId="5A3974EF" w14:textId="46897B65" w:rsidTr="001C40DB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7054" w14:textId="78009898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C769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Lexikológia</w:t>
            </w:r>
          </w:p>
          <w:p w14:paraId="43D7BA9F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</w:p>
          <w:p w14:paraId="79BE485D" w14:textId="21D46100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1E46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Lexikológia, slovná zásoba, slovo (1)</w:t>
            </w:r>
          </w:p>
          <w:p w14:paraId="494D4643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Lexikografia – slovníky, praktické zručnosti (1)</w:t>
            </w:r>
          </w:p>
          <w:p w14:paraId="348D4238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Delenie slovnej zásoby podľa rôznych kritérií (2)</w:t>
            </w:r>
          </w:p>
          <w:p w14:paraId="09854F22" w14:textId="5A976F88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Obohacovanie SZ – tvorenie slov, preberanie slov (1)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3617DB0F" w:rsidR="001C40DB" w:rsidRPr="007A7D43" w:rsidRDefault="001C40DB" w:rsidP="001C40D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C40DB" w14:paraId="28B5D6F3" w14:textId="41439FC9" w:rsidTr="001C40DB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EDC2" w14:textId="36492D49" w:rsidR="001C40DB" w:rsidRPr="002270E2" w:rsidRDefault="002270E2" w:rsidP="002270E2">
            <w:pPr>
              <w:rPr>
                <w:rFonts w:cstheme="minorHAnsi"/>
              </w:rPr>
            </w:pPr>
            <w:r w:rsidRPr="002270E2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2270E2">
              <w:rPr>
                <w:rFonts w:cstheme="minorHAnsi"/>
              </w:rPr>
              <w:t xml:space="preserve"> II</w:t>
            </w:r>
            <w:r>
              <w:rPr>
                <w:rFonts w:cstheme="minorHAnsi"/>
              </w:rPr>
              <w:t>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461F376F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EE47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Morfológia, slovné druhy (2)</w:t>
            </w:r>
          </w:p>
          <w:p w14:paraId="0FED9690" w14:textId="6A8F0B4F" w:rsidR="001C40DB" w:rsidRPr="00BA2C13" w:rsidRDefault="001C40DB" w:rsidP="00BA2C1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A2C13"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CA3E" w14:textId="4C3BB147" w:rsidR="001C40DB" w:rsidRPr="007A7D43" w:rsidRDefault="001C40DB" w:rsidP="001C40D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C40DB" w14:paraId="361205F5" w14:textId="77777777" w:rsidTr="001C40DB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51A5" w14:textId="7DA021D8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F757" w14:textId="6C7B697C" w:rsidR="001C40DB" w:rsidRDefault="001C40DB" w:rsidP="001C40D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B6A9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43C09AA0" w14:textId="18B92685" w:rsidR="001C40DB" w:rsidRPr="00BA2C13" w:rsidRDefault="001C40DB" w:rsidP="00BA2C1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A2C13"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B3AE" w14:textId="290CE10A" w:rsidR="001C40DB" w:rsidRPr="007A7D43" w:rsidRDefault="001C40DB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C40DB" w14:paraId="66F1C202" w14:textId="77777777" w:rsidTr="00BA2C13">
        <w:trPr>
          <w:trHeight w:val="132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D282" w14:textId="703A0064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– IV.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39BA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 w:rsidRPr="008A646C">
              <w:rPr>
                <w:rFonts w:cstheme="minorHAnsi"/>
                <w:sz w:val="20"/>
                <w:szCs w:val="20"/>
              </w:rPr>
              <w:t>Štylistik</w:t>
            </w:r>
            <w:r w:rsidR="00630828">
              <w:rPr>
                <w:rFonts w:cstheme="minorHAnsi"/>
                <w:sz w:val="20"/>
                <w:szCs w:val="20"/>
              </w:rPr>
              <w:t>a</w:t>
            </w:r>
          </w:p>
          <w:p w14:paraId="52F569E5" w14:textId="77777777" w:rsidR="00630828" w:rsidRDefault="00630828" w:rsidP="001C40DB">
            <w:pPr>
              <w:rPr>
                <w:rFonts w:cstheme="minorHAnsi"/>
              </w:rPr>
            </w:pPr>
          </w:p>
          <w:p w14:paraId="23FDBD96" w14:textId="77777777" w:rsidR="00630828" w:rsidRDefault="00630828" w:rsidP="001C40DB">
            <w:pPr>
              <w:rPr>
                <w:rFonts w:cstheme="minorHAnsi"/>
              </w:rPr>
            </w:pPr>
          </w:p>
          <w:p w14:paraId="4DA848E1" w14:textId="77777777" w:rsidR="00630828" w:rsidRDefault="00630828" w:rsidP="001C40DB">
            <w:pPr>
              <w:rPr>
                <w:rFonts w:cstheme="minorHAnsi"/>
              </w:rPr>
            </w:pPr>
          </w:p>
          <w:p w14:paraId="550F9B17" w14:textId="77777777" w:rsidR="00630828" w:rsidRDefault="00630828" w:rsidP="001C40DB">
            <w:pPr>
              <w:rPr>
                <w:rFonts w:cstheme="minorHAnsi"/>
              </w:rPr>
            </w:pPr>
          </w:p>
          <w:p w14:paraId="4544777A" w14:textId="185363AC" w:rsidR="00630828" w:rsidRDefault="00630828" w:rsidP="001C40DB">
            <w:pPr>
              <w:rPr>
                <w:rFonts w:cstheme="minorHAnsi"/>
              </w:rPr>
            </w:pPr>
          </w:p>
          <w:p w14:paraId="2C676CDA" w14:textId="16C79F8B" w:rsidR="00630828" w:rsidRDefault="00630828" w:rsidP="001C40DB">
            <w:pPr>
              <w:rPr>
                <w:rFonts w:cstheme="minorHAnsi"/>
              </w:rPr>
            </w:pPr>
          </w:p>
          <w:p w14:paraId="034061C1" w14:textId="77777777" w:rsidR="00630828" w:rsidRDefault="00630828" w:rsidP="001C40DB">
            <w:pPr>
              <w:rPr>
                <w:rFonts w:cstheme="minorHAnsi"/>
              </w:rPr>
            </w:pPr>
          </w:p>
          <w:p w14:paraId="02DE85F8" w14:textId="447485F9" w:rsidR="00630828" w:rsidRPr="008A646C" w:rsidRDefault="00630828" w:rsidP="001C40DB">
            <w:pPr>
              <w:rPr>
                <w:rFonts w:cstheme="minorHAnsi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F31" w14:textId="57048412" w:rsidR="00151773" w:rsidRDefault="001C40DB" w:rsidP="00151773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</w:t>
            </w:r>
            <w:r w:rsidR="00151773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046D29AE" w14:textId="77777777" w:rsidR="00151773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  <w:p w14:paraId="2DC62C2C" w14:textId="0E12DB21" w:rsidR="00151773" w:rsidRPr="001C40DB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40F9" w14:textId="77777777" w:rsidR="001C40DB" w:rsidRDefault="00630828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713E3D15" w14:textId="77777777" w:rsidR="00BA2C13" w:rsidRDefault="00BA2C13" w:rsidP="001C40DB">
            <w:pPr>
              <w:spacing w:before="120"/>
              <w:rPr>
                <w:rFonts w:cstheme="minorHAnsi"/>
              </w:rPr>
            </w:pPr>
          </w:p>
          <w:p w14:paraId="3369AA68" w14:textId="77777777" w:rsidR="00BA2C13" w:rsidRDefault="00BA2C13" w:rsidP="001C40DB">
            <w:pPr>
              <w:spacing w:before="120"/>
              <w:rPr>
                <w:rFonts w:cstheme="minorHAnsi"/>
              </w:rPr>
            </w:pPr>
          </w:p>
          <w:p w14:paraId="60971306" w14:textId="77777777" w:rsidR="00BA2C13" w:rsidRDefault="00BA2C13" w:rsidP="001C40DB">
            <w:pPr>
              <w:spacing w:before="120"/>
              <w:rPr>
                <w:rFonts w:cstheme="minorHAnsi"/>
              </w:rPr>
            </w:pPr>
          </w:p>
          <w:p w14:paraId="068D385B" w14:textId="77777777" w:rsidR="00BA2C13" w:rsidRDefault="00BA2C13" w:rsidP="001C40DB">
            <w:pPr>
              <w:spacing w:before="120"/>
              <w:rPr>
                <w:rFonts w:cstheme="minorHAnsi"/>
              </w:rPr>
            </w:pPr>
          </w:p>
          <w:p w14:paraId="26996CDB" w14:textId="1EC1A96B" w:rsidR="00BA2C13" w:rsidRPr="007A7D43" w:rsidRDefault="00BA2C13" w:rsidP="001C40DB">
            <w:pPr>
              <w:spacing w:before="120"/>
              <w:rPr>
                <w:rFonts w:cstheme="minorHAnsi"/>
              </w:rPr>
            </w:pPr>
          </w:p>
        </w:tc>
      </w:tr>
      <w:tr w:rsidR="001C40DB" w14:paraId="150F47C4" w14:textId="77777777" w:rsidTr="00151773">
        <w:trPr>
          <w:trHeight w:val="2462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B12F" w14:textId="526871BA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IV. - V.</w:t>
            </w:r>
          </w:p>
          <w:p w14:paraId="3AF07295" w14:textId="77777777" w:rsidR="002270E2" w:rsidRDefault="002270E2" w:rsidP="001C40DB">
            <w:pPr>
              <w:rPr>
                <w:rFonts w:cstheme="minorHAnsi"/>
              </w:rPr>
            </w:pPr>
          </w:p>
          <w:p w14:paraId="078F82CC" w14:textId="77777777" w:rsidR="002270E2" w:rsidRDefault="002270E2" w:rsidP="001C40DB">
            <w:pPr>
              <w:rPr>
                <w:rFonts w:cstheme="minorHAnsi"/>
              </w:rPr>
            </w:pPr>
          </w:p>
          <w:p w14:paraId="46A0D096" w14:textId="77777777" w:rsidR="002270E2" w:rsidRDefault="002270E2" w:rsidP="001C40DB">
            <w:pPr>
              <w:rPr>
                <w:rFonts w:cstheme="minorHAnsi"/>
              </w:rPr>
            </w:pPr>
          </w:p>
          <w:p w14:paraId="1434774D" w14:textId="77777777" w:rsidR="002270E2" w:rsidRDefault="002270E2" w:rsidP="001C40DB">
            <w:pPr>
              <w:rPr>
                <w:rFonts w:cstheme="minorHAnsi"/>
              </w:rPr>
            </w:pPr>
          </w:p>
          <w:p w14:paraId="71B85AE6" w14:textId="77777777" w:rsidR="002270E2" w:rsidRDefault="002270E2" w:rsidP="001C40DB">
            <w:pPr>
              <w:rPr>
                <w:rFonts w:cstheme="minorHAnsi"/>
              </w:rPr>
            </w:pPr>
          </w:p>
          <w:p w14:paraId="0F3A80B6" w14:textId="77777777" w:rsidR="002270E2" w:rsidRDefault="002270E2" w:rsidP="001C40DB">
            <w:pPr>
              <w:rPr>
                <w:rFonts w:cstheme="minorHAnsi"/>
              </w:rPr>
            </w:pPr>
          </w:p>
          <w:p w14:paraId="2127CEB3" w14:textId="77777777" w:rsidR="002270E2" w:rsidRDefault="002270E2" w:rsidP="001C40DB">
            <w:pPr>
              <w:rPr>
                <w:rFonts w:cstheme="minorHAnsi"/>
              </w:rPr>
            </w:pPr>
          </w:p>
          <w:p w14:paraId="7793660B" w14:textId="77777777" w:rsidR="002270E2" w:rsidRDefault="002270E2" w:rsidP="001C40DB">
            <w:pPr>
              <w:rPr>
                <w:rFonts w:cstheme="minorHAnsi"/>
              </w:rPr>
            </w:pPr>
          </w:p>
          <w:p w14:paraId="4A475E06" w14:textId="401962E2" w:rsidR="002270E2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V. - VI.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584A" w14:textId="5DDF71BD" w:rsidR="00151773" w:rsidRDefault="00630828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C40DB" w:rsidRPr="008A646C">
              <w:rPr>
                <w:rFonts w:cstheme="minorHAnsi"/>
                <w:sz w:val="20"/>
                <w:szCs w:val="20"/>
              </w:rPr>
              <w:t xml:space="preserve">eriodizácia literárneho vývoja </w:t>
            </w:r>
            <w:r w:rsidR="001C40D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01B5838" w14:textId="14144027" w:rsidR="00151773" w:rsidRDefault="00151773" w:rsidP="001C40DB">
            <w:pPr>
              <w:rPr>
                <w:rFonts w:cstheme="minorHAnsi"/>
              </w:rPr>
            </w:pPr>
          </w:p>
          <w:p w14:paraId="67EDC98B" w14:textId="77777777" w:rsidR="00151773" w:rsidRDefault="00151773" w:rsidP="001C40DB">
            <w:pPr>
              <w:rPr>
                <w:rFonts w:cstheme="minorHAnsi"/>
              </w:rPr>
            </w:pPr>
          </w:p>
          <w:p w14:paraId="58E1DD48" w14:textId="6BF2EEDE" w:rsidR="00151773" w:rsidRDefault="00151773" w:rsidP="001C40DB">
            <w:pPr>
              <w:rPr>
                <w:rFonts w:cstheme="minorHAnsi"/>
              </w:rPr>
            </w:pPr>
          </w:p>
          <w:p w14:paraId="61C2A113" w14:textId="02AA3B6F" w:rsidR="00151773" w:rsidRDefault="00151773" w:rsidP="001C40DB">
            <w:pPr>
              <w:rPr>
                <w:rFonts w:cstheme="minorHAnsi"/>
              </w:rPr>
            </w:pPr>
          </w:p>
          <w:p w14:paraId="57B6C985" w14:textId="77777777" w:rsidR="00151773" w:rsidRDefault="00151773" w:rsidP="001C40DB">
            <w:pPr>
              <w:rPr>
                <w:rFonts w:cstheme="minorHAnsi"/>
              </w:rPr>
            </w:pPr>
          </w:p>
          <w:p w14:paraId="3C0DEB75" w14:textId="77777777" w:rsidR="00630828" w:rsidRDefault="00630828" w:rsidP="001C40DB">
            <w:pPr>
              <w:rPr>
                <w:rFonts w:cstheme="minorHAnsi"/>
                <w:sz w:val="20"/>
                <w:szCs w:val="20"/>
              </w:rPr>
            </w:pPr>
          </w:p>
          <w:p w14:paraId="2EEEE259" w14:textId="3316478C" w:rsidR="001C40DB" w:rsidRPr="008A646C" w:rsidRDefault="00630828" w:rsidP="001C40D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Liter</w:t>
            </w:r>
            <w:r w:rsidR="001C40DB" w:rsidRPr="008A646C">
              <w:rPr>
                <w:rFonts w:cstheme="minorHAnsi"/>
                <w:sz w:val="20"/>
                <w:szCs w:val="20"/>
              </w:rPr>
              <w:t>árna teóri</w:t>
            </w: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9138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Periodizácia literárneho vývoja – svetová a slovenská lit. (1)</w:t>
            </w:r>
          </w:p>
          <w:p w14:paraId="791DF3C9" w14:textId="77777777" w:rsidR="00151773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  <w:p w14:paraId="5F5ECBD1" w14:textId="77777777" w:rsidR="00151773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  <w:p w14:paraId="1CE790F3" w14:textId="3D345DA5" w:rsidR="00151773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  <w:p w14:paraId="1CF959B6" w14:textId="24F35BA2" w:rsidR="00385A2C" w:rsidRDefault="00385A2C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  <w:p w14:paraId="270F1864" w14:textId="77777777" w:rsidR="00385A2C" w:rsidRDefault="00385A2C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  <w:bookmarkStart w:id="1" w:name="_GoBack"/>
            <w:bookmarkEnd w:id="1"/>
          </w:p>
          <w:p w14:paraId="1D6E45D4" w14:textId="5D915825" w:rsidR="00151773" w:rsidRPr="001C40DB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Literárno-teoretické pojmy – praktické zručnosti pri práci s literárnym textom  (4)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6EF2" w14:textId="250C27CE" w:rsidR="00630828" w:rsidRDefault="00630828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AC04E4C" w14:textId="77777777" w:rsidR="00630828" w:rsidRDefault="00630828" w:rsidP="001C40DB">
            <w:pPr>
              <w:spacing w:before="120"/>
              <w:rPr>
                <w:rFonts w:cstheme="minorHAnsi"/>
              </w:rPr>
            </w:pPr>
          </w:p>
          <w:p w14:paraId="33A54CF7" w14:textId="77777777" w:rsidR="00630828" w:rsidRDefault="00630828" w:rsidP="001C40DB">
            <w:pPr>
              <w:spacing w:before="120"/>
              <w:rPr>
                <w:rFonts w:cstheme="minorHAnsi"/>
              </w:rPr>
            </w:pPr>
          </w:p>
          <w:p w14:paraId="2C8E0C3D" w14:textId="77777777" w:rsidR="00630828" w:rsidRDefault="00630828" w:rsidP="001C40DB">
            <w:pPr>
              <w:spacing w:before="120"/>
              <w:rPr>
                <w:rFonts w:cstheme="minorHAnsi"/>
              </w:rPr>
            </w:pPr>
          </w:p>
          <w:p w14:paraId="02AEB45C" w14:textId="77777777" w:rsidR="00630828" w:rsidRDefault="00630828" w:rsidP="001C40DB">
            <w:pPr>
              <w:spacing w:before="120"/>
              <w:rPr>
                <w:rFonts w:cstheme="minorHAnsi"/>
              </w:rPr>
            </w:pPr>
          </w:p>
          <w:p w14:paraId="2A799329" w14:textId="1766567B" w:rsidR="00151773" w:rsidRPr="007A7D43" w:rsidRDefault="00630828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52A0667C" w14:textId="77777777" w:rsidR="00630828" w:rsidRDefault="00630828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D2B713B" w14:textId="63D6B35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5032" w:type="pct"/>
        <w:tblLayout w:type="fixed"/>
        <w:tblLook w:val="04A0" w:firstRow="1" w:lastRow="0" w:firstColumn="1" w:lastColumn="0" w:noHBand="0" w:noVBand="1"/>
      </w:tblPr>
      <w:tblGrid>
        <w:gridCol w:w="1509"/>
        <w:gridCol w:w="1681"/>
        <w:gridCol w:w="2868"/>
        <w:gridCol w:w="1585"/>
        <w:gridCol w:w="1464"/>
        <w:gridCol w:w="696"/>
      </w:tblGrid>
      <w:tr w:rsidR="00411F0C" w:rsidRPr="00411F0C" w14:paraId="2BEC1F42" w14:textId="77777777" w:rsidTr="00411F0C">
        <w:trPr>
          <w:tblHeader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411F0C" w:rsidRPr="00411F0C" w14:paraId="30D50871" w14:textId="77777777" w:rsidTr="00411F0C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F6F" w14:textId="4974DE7A" w:rsidR="00411F0C" w:rsidRPr="00411F0C" w:rsidRDefault="00411F0C" w:rsidP="00411F0C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8294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43472774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1BC1761E" w14:textId="77777777" w:rsidR="00411F0C" w:rsidRPr="0014623E" w:rsidRDefault="00411F0C" w:rsidP="00411F0C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5B6F9033" w14:textId="67DD22BB" w:rsidR="00411F0C" w:rsidRPr="00411F0C" w:rsidRDefault="00411F0C" w:rsidP="00411F0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ind w:left="249" w:right="0" w:hanging="24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B2F4" w14:textId="68D1ADE5" w:rsidR="00411F0C" w:rsidRPr="00411F0C" w:rsidRDefault="00411F0C" w:rsidP="00411F0C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6EEF" w14:textId="4CF8F826" w:rsidR="00411F0C" w:rsidRPr="00411F0C" w:rsidRDefault="00411F0C" w:rsidP="00411F0C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F76" w14:textId="77777777" w:rsidR="00411F0C" w:rsidRPr="00411F0C" w:rsidRDefault="00411F0C" w:rsidP="00411F0C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64FEC38" w14:textId="7FA4A093" w:rsidR="00411F0C" w:rsidRPr="00411F0C" w:rsidRDefault="00411F0C" w:rsidP="00411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</w:t>
            </w:r>
          </w:p>
          <w:p w14:paraId="4325E73A" w14:textId="77777777" w:rsidR="00411F0C" w:rsidRPr="00411F0C" w:rsidRDefault="00411F0C" w:rsidP="00411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6FD516E6" w:rsidR="00411F0C" w:rsidRPr="00411F0C" w:rsidRDefault="00411F0C" w:rsidP="00411F0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</w:t>
            </w:r>
          </w:p>
        </w:tc>
      </w:tr>
      <w:tr w:rsidR="00411F0C" w:rsidRPr="00411F0C" w14:paraId="717DF6BE" w14:textId="77777777" w:rsidTr="00D316EA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9337" w14:textId="38809F76" w:rsidR="00411F0C" w:rsidRPr="00411F0C" w:rsidRDefault="00411F0C" w:rsidP="00D316EA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6A79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2828A5F6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3A73878A" w14:textId="77777777" w:rsidR="00411F0C" w:rsidRPr="0014623E" w:rsidRDefault="00411F0C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5920F756" w14:textId="7D23834F" w:rsidR="00411F0C" w:rsidRPr="00411F0C" w:rsidRDefault="00411F0C" w:rsidP="00D316EA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ind w:left="249" w:right="0" w:hanging="249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EBBD" w14:textId="59360327" w:rsidR="00411F0C" w:rsidRPr="00411F0C" w:rsidRDefault="00411F0C" w:rsidP="00D316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</w:t>
            </w:r>
            <w:r w:rsidRPr="00411F0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5957" w14:textId="5766FA82" w:rsidR="00411F0C" w:rsidRPr="00411F0C" w:rsidRDefault="00411F0C" w:rsidP="00D316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49A5" w14:textId="5CDEE636" w:rsidR="00411F0C" w:rsidRPr="00411F0C" w:rsidRDefault="00411F0C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  <w:p w14:paraId="45FE0D3E" w14:textId="77777777" w:rsidR="00411F0C" w:rsidRPr="00411F0C" w:rsidRDefault="00411F0C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57488447" w:rsidR="00411F0C" w:rsidRPr="00411F0C" w:rsidRDefault="00411F0C" w:rsidP="00D316EA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</w:tr>
      <w:tr w:rsidR="00D316EA" w:rsidRPr="00411F0C" w14:paraId="5FA2281B" w14:textId="77777777" w:rsidTr="004B0ED1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F127" w14:textId="15F9F3FC" w:rsidR="00D316EA" w:rsidRDefault="00D316EA" w:rsidP="00D316EA">
            <w:pPr>
              <w:pStyle w:val="Zkladntext"/>
              <w:jc w:val="left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D3E7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  <w:r w:rsidRPr="0014623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13FB1817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22D7F5A9" w14:textId="77777777" w:rsidR="00D316EA" w:rsidRPr="0014623E" w:rsidRDefault="00D316EA" w:rsidP="00D316EA">
            <w:pPr>
              <w:pStyle w:val="Odsekzoznamu"/>
              <w:numPr>
                <w:ilvl w:val="0"/>
                <w:numId w:val="19"/>
              </w:numPr>
              <w:spacing w:after="120" w:line="240" w:lineRule="auto"/>
              <w:ind w:left="249" w:right="0" w:hanging="249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  <w:p w14:paraId="0BC332CC" w14:textId="51F81CED" w:rsidR="00D316EA" w:rsidRDefault="00D316EA" w:rsidP="00D316EA">
            <w:pPr>
              <w:pStyle w:val="Odsekzoznamu"/>
              <w:numPr>
                <w:ilvl w:val="0"/>
                <w:numId w:val="19"/>
              </w:numPr>
              <w:spacing w:before="120" w:after="0" w:line="240" w:lineRule="auto"/>
              <w:ind w:left="249" w:right="0" w:hanging="249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...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767A" w14:textId="367A8358" w:rsidR="00D316EA" w:rsidRDefault="00D316EA" w:rsidP="00D316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.......</w:t>
            </w:r>
            <w:r w:rsidRPr="00411F0C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1345" w14:textId="150D993E" w:rsidR="00D316EA" w:rsidRDefault="00D316EA" w:rsidP="00D316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A3EF" w14:textId="77777777" w:rsidR="00D316EA" w:rsidRPr="00411F0C" w:rsidRDefault="00D316EA" w:rsidP="00D316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  <w:p w14:paraId="0745F598" w14:textId="77777777" w:rsidR="00D316EA" w:rsidRDefault="00D316EA" w:rsidP="00D316E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70E9DB71" w:rsidR="00D316EA" w:rsidRDefault="00D316EA" w:rsidP="00D316EA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</w:tr>
    </w:tbl>
    <w:p w14:paraId="5F88E609" w14:textId="77777777" w:rsidR="00FC57A7" w:rsidRDefault="00FC57A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315CBFAF" w14:textId="690AD48C" w:rsidR="007A7D43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Príprava na stretnutie záujmového krúžku</w:t>
      </w:r>
    </w:p>
    <w:p w14:paraId="3487B50A" w14:textId="3AEF4F71" w:rsidR="00D316EA" w:rsidRPr="007B462A" w:rsidRDefault="00A17D4A" w:rsidP="007B462A">
      <w:pPr>
        <w:tabs>
          <w:tab w:val="left" w:pos="0"/>
        </w:tabs>
        <w:spacing w:after="120"/>
        <w:rPr>
          <w:rFonts w:asciiTheme="minorHAnsi" w:hAnsiTheme="minorHAnsi" w:cs="Arial"/>
          <w:bCs/>
          <w:color w:val="FF0000"/>
          <w:sz w:val="24"/>
          <w:szCs w:val="24"/>
        </w:rPr>
      </w:pPr>
      <w:r w:rsidRPr="00A17D4A">
        <w:rPr>
          <w:rFonts w:asciiTheme="minorHAnsi" w:hAnsiTheme="minorHAnsi" w:cs="Arial"/>
          <w:bCs/>
          <w:color w:val="FF0000"/>
          <w:sz w:val="24"/>
          <w:szCs w:val="24"/>
        </w:rPr>
        <w:t>Nepovinná príloha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D316EA" w:rsidRPr="00A944CA" w14:paraId="3478D739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3676" w14:textId="7777777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18EC" w14:textId="7743A0EB" w:rsidR="00D316EA" w:rsidRPr="00035339" w:rsidRDefault="00CB1CFB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  <w:b/>
                <w:bCs/>
              </w:rPr>
              <w:t>Krúžok 1.1.4. Testujme sa v SJL</w:t>
            </w:r>
          </w:p>
        </w:tc>
      </w:tr>
      <w:tr w:rsidR="00D316EA" w:rsidRPr="00A944CA" w14:paraId="56976C4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9FDD" w14:textId="516F8D42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realizácie stretnutia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A361" w14:textId="64449BE3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0903594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71F6" w14:textId="2D6682AF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Počet hodín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9DC4" w14:textId="371D3001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00503CA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8993" w14:textId="39362D8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C09D" w14:textId="50B03D4E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51A5299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7312" w14:textId="0C60B3F4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Podtéma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322F" w14:textId="105BA89C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D316EA" w:rsidRPr="00A944CA" w14:paraId="2951483F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4AB7" w14:textId="070E9FA0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258C" w14:textId="309447E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D316EA" w:rsidRPr="00A944CA" w14:paraId="69E316F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14E" w14:textId="1878D0D4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7DB2" w14:textId="2EB8E1F8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316EA" w:rsidRPr="00A944CA" w14:paraId="4CB19FC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D588" w14:textId="0061B27C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31CE" w14:textId="1414721D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Frontálna</w:t>
            </w:r>
          </w:p>
          <w:p w14:paraId="1824EB54" w14:textId="7AC7FF2F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Skupinová</w:t>
            </w:r>
          </w:p>
          <w:p w14:paraId="3D0D9248" w14:textId="07626FB9" w:rsidR="00D316EA" w:rsidRPr="00D316EA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D316EA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....</w:t>
            </w:r>
          </w:p>
        </w:tc>
      </w:tr>
      <w:tr w:rsidR="00D316EA" w:rsidRPr="00A944CA" w14:paraId="101E530F" w14:textId="77777777" w:rsidTr="0026211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D5DD" w14:textId="541E0BA5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Priebeh stretnutia záujmového krúžku</w:t>
            </w:r>
          </w:p>
        </w:tc>
      </w:tr>
      <w:tr w:rsidR="00D316EA" w:rsidRPr="00A944CA" w14:paraId="46A098C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1CC5" w14:textId="30E12771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Motivačná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BDAE4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36393325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4B6BF5DF" w14:textId="77777777" w:rsidR="0043707D" w:rsidRP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0FEF2B6A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56132F5" w14:textId="2DEA28E6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0B2FBA60" w14:textId="408C63B8" w:rsidR="008C6C18" w:rsidRPr="0043707D" w:rsidRDefault="008C6C18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5CECDCB6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05DC07B0" w14:textId="77777777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200DA5DB" w14:textId="162729A2" w:rsidR="0043707D" w:rsidRPr="00035339" w:rsidRDefault="0043707D" w:rsidP="00D316E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43707D" w:rsidRPr="00A944CA" w14:paraId="4342EFD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CCF0" w14:textId="7A499392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Expozičná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A448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0FEC3DF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7512F8F6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73E5DE57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548F9BE0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245BCC59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70BB425A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5AED7699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5E4CCC35" w14:textId="07F709E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43707D" w:rsidRPr="00A944CA" w14:paraId="05AF26F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642" w14:textId="52FF03D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EDC6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4A5B672C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F91DD33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09DFBBA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72FC6FE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2EF1F4BD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1346B0CF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19F9A6E1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530F1BED" w14:textId="79D2C021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</w:tr>
      <w:tr w:rsidR="0043707D" w:rsidRPr="00A944CA" w14:paraId="0FAB8C1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CF35" w14:textId="73BE68AD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Hodnotiaca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C9A0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Upresňujúci text ....</w:t>
            </w:r>
          </w:p>
          <w:p w14:paraId="6FDAC854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37442A1D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 .... min.</w:t>
            </w:r>
          </w:p>
          <w:p w14:paraId="4D106E14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0A5BE36A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</w:p>
          <w:p w14:paraId="02300D70" w14:textId="77777777" w:rsidR="008C6C18" w:rsidRPr="0043707D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</w:p>
          <w:p w14:paraId="08803072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619AEE0E" w14:textId="09C771B4" w:rsidR="0043707D" w:rsidRPr="00035339" w:rsidRDefault="008C6C18" w:rsidP="007B462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</w:tc>
      </w:tr>
    </w:tbl>
    <w:p w14:paraId="0A352B95" w14:textId="77777777" w:rsidR="00D316EA" w:rsidRDefault="00D316EA">
      <w:pPr>
        <w:rPr>
          <w:rFonts w:asciiTheme="minorHAnsi" w:hAnsiTheme="minorHAnsi" w:cs="Arial"/>
          <w:bCs/>
          <w:sz w:val="24"/>
          <w:szCs w:val="24"/>
        </w:rPr>
      </w:pPr>
    </w:p>
    <w:sectPr w:rsidR="00D316EA" w:rsidSect="00D80625">
      <w:footerReference w:type="default" r:id="rId13"/>
      <w:pgSz w:w="11906" w:h="16838"/>
      <w:pgMar w:top="851" w:right="1021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115E" w14:textId="77777777" w:rsidR="00D37CB9" w:rsidRDefault="00D37CB9" w:rsidP="00CB038C">
      <w:r>
        <w:separator/>
      </w:r>
    </w:p>
  </w:endnote>
  <w:endnote w:type="continuationSeparator" w:id="0">
    <w:p w14:paraId="664ECCAE" w14:textId="77777777" w:rsidR="00D37CB9" w:rsidRDefault="00D37CB9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1BA9" w14:textId="5881EFFE" w:rsidR="00CB038C" w:rsidRPr="00A6166C" w:rsidRDefault="00CB038C" w:rsidP="00CB038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="00C67B05"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63CBE980" w14:textId="77777777" w:rsidR="00CB038C" w:rsidRDefault="00CB038C" w:rsidP="00CB038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20C9BBCD" w14:textId="77777777" w:rsidR="00CB038C" w:rsidRPr="00CB038C" w:rsidRDefault="00CB038C" w:rsidP="00CB038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698E" w14:textId="77777777" w:rsidR="00D37CB9" w:rsidRDefault="00D37CB9" w:rsidP="00CB038C">
      <w:r>
        <w:separator/>
      </w:r>
    </w:p>
  </w:footnote>
  <w:footnote w:type="continuationSeparator" w:id="0">
    <w:p w14:paraId="62445E35" w14:textId="77777777" w:rsidR="00D37CB9" w:rsidRDefault="00D37CB9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3111"/>
    <w:multiLevelType w:val="hybridMultilevel"/>
    <w:tmpl w:val="4F644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175F"/>
    <w:multiLevelType w:val="hybridMultilevel"/>
    <w:tmpl w:val="A36E4872"/>
    <w:lvl w:ilvl="0" w:tplc="B0E6D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2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1"/>
  </w:num>
  <w:num w:numId="5">
    <w:abstractNumId w:val="17"/>
  </w:num>
  <w:num w:numId="6">
    <w:abstractNumId w:val="6"/>
  </w:num>
  <w:num w:numId="7">
    <w:abstractNumId w:val="13"/>
  </w:num>
  <w:num w:numId="8">
    <w:abstractNumId w:val="16"/>
  </w:num>
  <w:num w:numId="9">
    <w:abstractNumId w:val="12"/>
  </w:num>
  <w:num w:numId="10">
    <w:abstractNumId w:val="1"/>
  </w:num>
  <w:num w:numId="11">
    <w:abstractNumId w:val="14"/>
  </w:num>
  <w:num w:numId="12">
    <w:abstractNumId w:val="10"/>
  </w:num>
  <w:num w:numId="13">
    <w:abstractNumId w:val="18"/>
  </w:num>
  <w:num w:numId="14">
    <w:abstractNumId w:val="20"/>
  </w:num>
  <w:num w:numId="15">
    <w:abstractNumId w:val="15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19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83"/>
    <w:rsid w:val="00006CB1"/>
    <w:rsid w:val="000150C9"/>
    <w:rsid w:val="00035339"/>
    <w:rsid w:val="00041473"/>
    <w:rsid w:val="00046A84"/>
    <w:rsid w:val="00073455"/>
    <w:rsid w:val="00081595"/>
    <w:rsid w:val="00092289"/>
    <w:rsid w:val="000A14F4"/>
    <w:rsid w:val="000A27AD"/>
    <w:rsid w:val="000C0824"/>
    <w:rsid w:val="000C293A"/>
    <w:rsid w:val="000C2FA7"/>
    <w:rsid w:val="000C3895"/>
    <w:rsid w:val="000E666F"/>
    <w:rsid w:val="000F0829"/>
    <w:rsid w:val="0010052E"/>
    <w:rsid w:val="001308FB"/>
    <w:rsid w:val="00131C66"/>
    <w:rsid w:val="0014623E"/>
    <w:rsid w:val="00151773"/>
    <w:rsid w:val="0016036D"/>
    <w:rsid w:val="00176160"/>
    <w:rsid w:val="001A0D8C"/>
    <w:rsid w:val="001C40DB"/>
    <w:rsid w:val="001F1631"/>
    <w:rsid w:val="00201E83"/>
    <w:rsid w:val="00204B95"/>
    <w:rsid w:val="002270E2"/>
    <w:rsid w:val="00227A31"/>
    <w:rsid w:val="00233C0A"/>
    <w:rsid w:val="00237ECF"/>
    <w:rsid w:val="00296DA0"/>
    <w:rsid w:val="00297BBB"/>
    <w:rsid w:val="002B7468"/>
    <w:rsid w:val="002C1D8C"/>
    <w:rsid w:val="003023EC"/>
    <w:rsid w:val="00303F5D"/>
    <w:rsid w:val="003145E0"/>
    <w:rsid w:val="00335EB7"/>
    <w:rsid w:val="003514ED"/>
    <w:rsid w:val="00355759"/>
    <w:rsid w:val="00371748"/>
    <w:rsid w:val="003760DD"/>
    <w:rsid w:val="00385A2C"/>
    <w:rsid w:val="003929C4"/>
    <w:rsid w:val="003959A0"/>
    <w:rsid w:val="003C125A"/>
    <w:rsid w:val="003D57FE"/>
    <w:rsid w:val="003E2093"/>
    <w:rsid w:val="0040215E"/>
    <w:rsid w:val="00403DB3"/>
    <w:rsid w:val="00404657"/>
    <w:rsid w:val="00411F0C"/>
    <w:rsid w:val="00430526"/>
    <w:rsid w:val="00434852"/>
    <w:rsid w:val="0043707D"/>
    <w:rsid w:val="0045301E"/>
    <w:rsid w:val="00473181"/>
    <w:rsid w:val="004C0CC7"/>
    <w:rsid w:val="004D153F"/>
    <w:rsid w:val="004D6002"/>
    <w:rsid w:val="004E53A2"/>
    <w:rsid w:val="004E53F2"/>
    <w:rsid w:val="0052071C"/>
    <w:rsid w:val="0053076C"/>
    <w:rsid w:val="00565407"/>
    <w:rsid w:val="0057682D"/>
    <w:rsid w:val="005A4F2C"/>
    <w:rsid w:val="005C0ABB"/>
    <w:rsid w:val="005C2177"/>
    <w:rsid w:val="005C4B38"/>
    <w:rsid w:val="005D3954"/>
    <w:rsid w:val="005F703B"/>
    <w:rsid w:val="00630828"/>
    <w:rsid w:val="00633C2B"/>
    <w:rsid w:val="00646AC1"/>
    <w:rsid w:val="0067238A"/>
    <w:rsid w:val="006A1BAA"/>
    <w:rsid w:val="006A7392"/>
    <w:rsid w:val="006A7AF2"/>
    <w:rsid w:val="006D1FA4"/>
    <w:rsid w:val="006D61B8"/>
    <w:rsid w:val="00702C65"/>
    <w:rsid w:val="0078186D"/>
    <w:rsid w:val="0078268E"/>
    <w:rsid w:val="007A0E29"/>
    <w:rsid w:val="007A7D43"/>
    <w:rsid w:val="007B37E1"/>
    <w:rsid w:val="007B462A"/>
    <w:rsid w:val="007B6E68"/>
    <w:rsid w:val="007C6D79"/>
    <w:rsid w:val="007F0304"/>
    <w:rsid w:val="007F5582"/>
    <w:rsid w:val="00812DB3"/>
    <w:rsid w:val="00835431"/>
    <w:rsid w:val="008510C1"/>
    <w:rsid w:val="00852255"/>
    <w:rsid w:val="00865D9B"/>
    <w:rsid w:val="00872593"/>
    <w:rsid w:val="0087660A"/>
    <w:rsid w:val="00897349"/>
    <w:rsid w:val="008C6C18"/>
    <w:rsid w:val="008C78BE"/>
    <w:rsid w:val="008D3293"/>
    <w:rsid w:val="00900F86"/>
    <w:rsid w:val="00922DE4"/>
    <w:rsid w:val="0093525B"/>
    <w:rsid w:val="00942C0D"/>
    <w:rsid w:val="00944915"/>
    <w:rsid w:val="00946B53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15E4D"/>
    <w:rsid w:val="00A17D4A"/>
    <w:rsid w:val="00A2675A"/>
    <w:rsid w:val="00A715CB"/>
    <w:rsid w:val="00A71B04"/>
    <w:rsid w:val="00A944CA"/>
    <w:rsid w:val="00A950CD"/>
    <w:rsid w:val="00AA173C"/>
    <w:rsid w:val="00AB52AF"/>
    <w:rsid w:val="00AB713C"/>
    <w:rsid w:val="00AC5E6F"/>
    <w:rsid w:val="00AE279E"/>
    <w:rsid w:val="00B126D6"/>
    <w:rsid w:val="00B23A29"/>
    <w:rsid w:val="00B42DD9"/>
    <w:rsid w:val="00B43BBB"/>
    <w:rsid w:val="00B7680C"/>
    <w:rsid w:val="00B929E1"/>
    <w:rsid w:val="00B949EB"/>
    <w:rsid w:val="00BA2A13"/>
    <w:rsid w:val="00BA2C13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31B4E"/>
    <w:rsid w:val="00C40841"/>
    <w:rsid w:val="00C44F3B"/>
    <w:rsid w:val="00C50CD0"/>
    <w:rsid w:val="00C52ADE"/>
    <w:rsid w:val="00C61F66"/>
    <w:rsid w:val="00C67B05"/>
    <w:rsid w:val="00C7377C"/>
    <w:rsid w:val="00CA1699"/>
    <w:rsid w:val="00CA7BB7"/>
    <w:rsid w:val="00CB038C"/>
    <w:rsid w:val="00CB1CFB"/>
    <w:rsid w:val="00CB58E3"/>
    <w:rsid w:val="00CE2963"/>
    <w:rsid w:val="00CE4A66"/>
    <w:rsid w:val="00D10A3C"/>
    <w:rsid w:val="00D316EA"/>
    <w:rsid w:val="00D37CB9"/>
    <w:rsid w:val="00D40AD7"/>
    <w:rsid w:val="00D452F2"/>
    <w:rsid w:val="00D57638"/>
    <w:rsid w:val="00D6430F"/>
    <w:rsid w:val="00D80625"/>
    <w:rsid w:val="00DA7E43"/>
    <w:rsid w:val="00DB3953"/>
    <w:rsid w:val="00DB5CCF"/>
    <w:rsid w:val="00DE6591"/>
    <w:rsid w:val="00E11675"/>
    <w:rsid w:val="00E278B2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F37DAD"/>
    <w:rsid w:val="00F44304"/>
    <w:rsid w:val="00F45B16"/>
    <w:rsid w:val="00F5254F"/>
    <w:rsid w:val="00F85A60"/>
    <w:rsid w:val="00F94AEC"/>
    <w:rsid w:val="00F97277"/>
    <w:rsid w:val="00FC57A7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760F1B0"/>
  <w15:docId w15:val="{6E8029B4-202F-4D85-9A98-C70332B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A7C26-390F-45C8-8648-E3CEB0C6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767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6108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12</cp:revision>
  <cp:lastPrinted>2011-04-27T10:28:00Z</cp:lastPrinted>
  <dcterms:created xsi:type="dcterms:W3CDTF">2020-02-23T21:00:00Z</dcterms:created>
  <dcterms:modified xsi:type="dcterms:W3CDTF">2020-02-25T18:27:00Z</dcterms:modified>
</cp:coreProperties>
</file>