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A26FD" w14:textId="5BC90962" w:rsidR="00A96F96" w:rsidRPr="00F03DB3" w:rsidRDefault="00C36D1F">
      <w:pPr>
        <w:rPr>
          <w:b/>
          <w:bCs/>
        </w:rPr>
      </w:pPr>
      <w:r w:rsidRPr="00F03DB3">
        <w:rPr>
          <w:b/>
          <w:bCs/>
        </w:rPr>
        <w:t>Qu</w:t>
      </w:r>
      <w:r w:rsidR="00B4269F" w:rsidRPr="00F03DB3">
        <w:rPr>
          <w:b/>
          <w:bCs/>
        </w:rPr>
        <w:t xml:space="preserve"> </w:t>
      </w:r>
      <w:r w:rsidRPr="00F03DB3">
        <w:rPr>
          <w:b/>
          <w:bCs/>
        </w:rPr>
        <w:t>1</w:t>
      </w:r>
      <w:r w:rsidR="00D24FFC" w:rsidRPr="00F03DB3">
        <w:rPr>
          <w:b/>
          <w:bCs/>
        </w:rPr>
        <w:t>a</w:t>
      </w:r>
      <w:r w:rsidRPr="00F03DB3">
        <w:rPr>
          <w:b/>
          <w:bCs/>
        </w:rPr>
        <w:t>.</w:t>
      </w:r>
    </w:p>
    <w:p w14:paraId="5F04946F" w14:textId="7538289E" w:rsidR="00B4269F" w:rsidRDefault="001D7607">
      <w:r>
        <w:rPr>
          <w:noProof/>
        </w:rPr>
        <w:drawing>
          <wp:inline distT="0" distB="0" distL="0" distR="0" wp14:anchorId="067B21F9" wp14:editId="3CD30893">
            <wp:extent cx="4869181" cy="2941320"/>
            <wp:effectExtent l="0" t="0" r="7620" b="11430"/>
            <wp:docPr id="1" name="Chart 1">
              <a:extLst xmlns:a="http://schemas.openxmlformats.org/drawingml/2006/main">
                <a:ext uri="{FF2B5EF4-FFF2-40B4-BE49-F238E27FC236}">
                  <a16:creationId xmlns:a16="http://schemas.microsoft.com/office/drawing/2014/main" id="{5204C24C-9804-499D-92D7-857AB6234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B76680" w14:textId="37C6A2AC" w:rsidR="00C36D1F" w:rsidRDefault="00C36D1F">
      <w:r w:rsidRPr="00C36D1F">
        <w:rPr>
          <w:b/>
          <w:bCs/>
        </w:rPr>
        <w:t>Figure 1.</w:t>
      </w:r>
      <w:r>
        <w:rPr>
          <w:b/>
          <w:bCs/>
        </w:rPr>
        <w:t xml:space="preserve"> </w:t>
      </w:r>
      <w:r w:rsidR="007B4F18">
        <w:t xml:space="preserve">National </w:t>
      </w:r>
      <w:r>
        <w:t>summer burial</w:t>
      </w:r>
      <w:r w:rsidR="00B4269F">
        <w:t>s</w:t>
      </w:r>
      <w:r>
        <w:t xml:space="preserve"> in eighteenth century in England. </w:t>
      </w:r>
    </w:p>
    <w:p w14:paraId="446F3587" w14:textId="2ADA5D54" w:rsidR="00B4269F" w:rsidRDefault="00B4269F">
      <w:r>
        <w:t xml:space="preserve">Summer burials vary for each year and I cannot see any specific pattern. In general, most of years are in range between 30 000 and 40 000 burials. In some cases, the records are significantly higher, as we can see in years 1727-1728 or 1783, where funerals reach </w:t>
      </w:r>
      <w:r w:rsidR="00D24FFC">
        <w:t>the number</w:t>
      </w:r>
      <w:r>
        <w:t xml:space="preserve"> 50 000</w:t>
      </w:r>
      <w:r w:rsidR="00D24FFC">
        <w:t xml:space="preserve">. </w:t>
      </w:r>
    </w:p>
    <w:p w14:paraId="7625EB7B" w14:textId="5920873C" w:rsidR="00D24FFC" w:rsidRPr="00F03DB3" w:rsidRDefault="00D24FFC" w:rsidP="00D24FFC">
      <w:pPr>
        <w:rPr>
          <w:b/>
          <w:bCs/>
        </w:rPr>
      </w:pPr>
      <w:r w:rsidRPr="00F03DB3">
        <w:rPr>
          <w:b/>
          <w:bCs/>
        </w:rPr>
        <w:t>Qu 1b.</w:t>
      </w:r>
    </w:p>
    <w:p w14:paraId="4FF0E88E" w14:textId="463355A9" w:rsidR="000C5D16" w:rsidRDefault="00D01FA8" w:rsidP="00D24FFC">
      <w:r>
        <w:rPr>
          <w:noProof/>
        </w:rPr>
        <w:drawing>
          <wp:inline distT="0" distB="0" distL="0" distR="0" wp14:anchorId="564AA1AB" wp14:editId="3AAEC1BF">
            <wp:extent cx="5731510" cy="2836545"/>
            <wp:effectExtent l="0" t="0" r="2540" b="1905"/>
            <wp:docPr id="2" name="Chart 2">
              <a:extLst xmlns:a="http://schemas.openxmlformats.org/drawingml/2006/main">
                <a:ext uri="{FF2B5EF4-FFF2-40B4-BE49-F238E27FC236}">
                  <a16:creationId xmlns:a16="http://schemas.microsoft.com/office/drawing/2014/main" id="{AE803630-B4C1-4BDD-84CB-3A188B2D1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1FA094" w14:textId="594FA18B" w:rsidR="000C5D16" w:rsidRDefault="000C5D16" w:rsidP="00D24FFC">
      <w:r w:rsidRPr="000C5D16">
        <w:rPr>
          <w:b/>
          <w:bCs/>
        </w:rPr>
        <w:t>Figure 2.</w:t>
      </w:r>
      <w:r>
        <w:rPr>
          <w:b/>
          <w:bCs/>
        </w:rPr>
        <w:t xml:space="preserve"> </w:t>
      </w:r>
      <w:r w:rsidRPr="000C5D16">
        <w:t>The English summer burials</w:t>
      </w:r>
      <w:r>
        <w:rPr>
          <w:b/>
          <w:bCs/>
        </w:rPr>
        <w:t xml:space="preserve"> </w:t>
      </w:r>
      <w:r>
        <w:t>mortality index across years 1707-1792</w:t>
      </w:r>
      <w:r w:rsidR="004A74EE">
        <w:t>, also</w:t>
      </w:r>
      <w:r>
        <w:t xml:space="preserve"> </w:t>
      </w:r>
      <w:r w:rsidR="004A74EE">
        <w:t>including</w:t>
      </w:r>
      <w:r>
        <w:t xml:space="preserve"> the worst mortality years (index</w:t>
      </w:r>
      <w:r>
        <w:rPr>
          <w:rFonts w:cstheme="minorHAnsi"/>
        </w:rPr>
        <w:t>≥</w:t>
      </w:r>
      <w:r>
        <w:t xml:space="preserve">125). </w:t>
      </w:r>
    </w:p>
    <w:p w14:paraId="60D626CB" w14:textId="0CC5CCE0" w:rsidR="000C5D16" w:rsidRPr="000C5D16" w:rsidRDefault="004A74EE" w:rsidP="00D24FFC">
      <w:r>
        <w:t>The years with the highest mortality index are: 1719 (135.61), 1727 (137.58), 1728 (146.85), 1729 (126.14), 1741 (132.13), 1773 (136.53) and 1783 (131.28).  The top crisis mortality took place in the year 1728 and the second highest index year before – 1727.</w:t>
      </w:r>
      <w:r w:rsidR="009453FE">
        <w:t xml:space="preserve"> The year 1729 </w:t>
      </w:r>
      <w:r w:rsidR="00BC616B">
        <w:t xml:space="preserve">also </w:t>
      </w:r>
      <w:r w:rsidR="009453FE">
        <w:t xml:space="preserve">shows above </w:t>
      </w:r>
      <w:r w:rsidR="009453FE">
        <w:lastRenderedPageBreak/>
        <w:t>average values, and therefore</w:t>
      </w:r>
      <w:r>
        <w:t xml:space="preserve"> we can assume some connections between those t</w:t>
      </w:r>
      <w:r w:rsidR="009453FE">
        <w:t xml:space="preserve">hree </w:t>
      </w:r>
      <w:r>
        <w:t>continuous years</w:t>
      </w:r>
      <w:r w:rsidR="00D01FA8">
        <w:t xml:space="preserve">. </w:t>
      </w:r>
    </w:p>
    <w:p w14:paraId="3757AD75" w14:textId="4B93FEB9" w:rsidR="00D24FFC" w:rsidRDefault="00D24FFC" w:rsidP="00D24FFC">
      <w:pPr>
        <w:rPr>
          <w:b/>
          <w:bCs/>
        </w:rPr>
      </w:pPr>
      <w:r w:rsidRPr="00F03DB3">
        <w:rPr>
          <w:b/>
          <w:bCs/>
        </w:rPr>
        <w:t>Qu 1c.</w:t>
      </w:r>
    </w:p>
    <w:p w14:paraId="079FDF58" w14:textId="51CFAF6F" w:rsidR="001D7607" w:rsidRPr="001D7607" w:rsidRDefault="001D7607" w:rsidP="00D24FFC">
      <w:r>
        <w:t>The figure 1 illustrates gradually increasing trend for summer burials numbers whereas the figure 2 is relatively stable with occasional significant growths.</w:t>
      </w:r>
      <w:r w:rsidR="007B4F18">
        <w:t xml:space="preserve"> In my opinion the figure 2 is more objective and precise as </w:t>
      </w:r>
      <w:r w:rsidR="00F30877">
        <w:t>considers</w:t>
      </w:r>
      <w:r w:rsidR="007B4F18">
        <w:t xml:space="preserve"> 15-years moving average. </w:t>
      </w:r>
    </w:p>
    <w:p w14:paraId="41C6D3CC" w14:textId="17B242BD" w:rsidR="00BC616B" w:rsidRPr="00F03DB3" w:rsidRDefault="00BC616B" w:rsidP="00D24FFC">
      <w:pPr>
        <w:rPr>
          <w:b/>
          <w:bCs/>
        </w:rPr>
      </w:pPr>
      <w:r w:rsidRPr="00F03DB3">
        <w:rPr>
          <w:b/>
          <w:bCs/>
        </w:rPr>
        <w:t>Qu 2.</w:t>
      </w:r>
    </w:p>
    <w:p w14:paraId="2CB70528" w14:textId="44158FEC" w:rsidR="00BC616B" w:rsidRDefault="0093054C" w:rsidP="00D24FFC">
      <w:r>
        <w:rPr>
          <w:noProof/>
        </w:rPr>
        <w:drawing>
          <wp:inline distT="0" distB="0" distL="0" distR="0" wp14:anchorId="21D3F3C7" wp14:editId="6360484F">
            <wp:extent cx="5581650" cy="2971800"/>
            <wp:effectExtent l="0" t="0" r="0" b="0"/>
            <wp:docPr id="6" name="Chart 6">
              <a:extLst xmlns:a="http://schemas.openxmlformats.org/drawingml/2006/main">
                <a:ext uri="{FF2B5EF4-FFF2-40B4-BE49-F238E27FC236}">
                  <a16:creationId xmlns:a16="http://schemas.microsoft.com/office/drawing/2014/main" id="{90A135F7-6804-44F7-8079-8675DBD9E9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EC7153" w14:textId="4AE6459E" w:rsidR="00BC616B" w:rsidRPr="00D0106F" w:rsidRDefault="00BC616B" w:rsidP="00D24FFC">
      <w:r w:rsidRPr="00BC616B">
        <w:rPr>
          <w:b/>
          <w:bCs/>
        </w:rPr>
        <w:t>Figure 3.</w:t>
      </w:r>
      <w:r w:rsidR="00D0106F">
        <w:rPr>
          <w:b/>
          <w:bCs/>
        </w:rPr>
        <w:t xml:space="preserve"> </w:t>
      </w:r>
      <w:r w:rsidR="00D0106F">
        <w:t xml:space="preserve">Number of summer deaths as z-scores in </w:t>
      </w:r>
      <w:r w:rsidR="009B2E4E">
        <w:t>Gloucestershire</w:t>
      </w:r>
      <w:r w:rsidR="00D0106F">
        <w:t xml:space="preserve"> during the years 1770-1795.</w:t>
      </w:r>
      <w:r w:rsidR="001C73F7">
        <w:t xml:space="preserve"> Values are calculated</w:t>
      </w:r>
      <w:r w:rsidR="00A3363A">
        <w:t xml:space="preserve"> </w:t>
      </w:r>
      <w:r w:rsidR="001C73F7">
        <w:t>from the months July, August</w:t>
      </w:r>
      <w:r w:rsidR="00A3363A">
        <w:t>,</w:t>
      </w:r>
      <w:r w:rsidR="001C73F7">
        <w:t xml:space="preserve"> and September</w:t>
      </w:r>
      <w:r w:rsidR="00A3363A">
        <w:t xml:space="preserve"> only</w:t>
      </w:r>
      <w:r w:rsidR="001C73F7">
        <w:t xml:space="preserve">. </w:t>
      </w:r>
    </w:p>
    <w:p w14:paraId="615D8D3C" w14:textId="4A27CB81" w:rsidR="003C15BF" w:rsidRDefault="003C15BF">
      <w:r>
        <w:t>We can observe three years where z-scores are 0, what indicates no difference from the mean value (3). The year 1783 represents a crisis mortality event, as a z-score is greater than 2. There is not any other period of that high value. The remarkable fact is, that the year before this one, identifies 0 z-score value</w:t>
      </w:r>
      <w:r w:rsidR="00932A57">
        <w:t>, and year after even negative values</w:t>
      </w:r>
      <w:r>
        <w:t xml:space="preserve">. Behind this sharp increase must be some </w:t>
      </w:r>
      <w:r w:rsidR="00202E4A">
        <w:t xml:space="preserve">reason with high magnitude. </w:t>
      </w:r>
      <w:r>
        <w:t xml:space="preserve">From the graph we can </w:t>
      </w:r>
      <w:r w:rsidR="00932A57">
        <w:t xml:space="preserve">observe </w:t>
      </w:r>
      <w:r>
        <w:t>repeating pattern</w:t>
      </w:r>
      <w:r w:rsidR="001C73F7">
        <w:t>,</w:t>
      </w:r>
      <w:r>
        <w:t xml:space="preserve"> in which </w:t>
      </w:r>
      <w:r w:rsidR="00362220">
        <w:t>specific</w:t>
      </w:r>
      <w:r>
        <w:t xml:space="preserve"> z-scores continuously stay around the same value across three or more years. </w:t>
      </w:r>
      <w:r w:rsidR="009B2E4E">
        <w:t>The ratio between the positive and negative values is not significant</w:t>
      </w:r>
      <w:r w:rsidR="00366AA7">
        <w:t xml:space="preserve">, however values below the mean are slightly more pronounced, what indicates lower mortality rate. </w:t>
      </w:r>
    </w:p>
    <w:p w14:paraId="1B0BFDC3" w14:textId="60FBAD4E" w:rsidR="00DD3DFE" w:rsidRPr="00F03DB3" w:rsidRDefault="00DD3DFE">
      <w:pPr>
        <w:rPr>
          <w:b/>
          <w:bCs/>
        </w:rPr>
      </w:pPr>
      <w:r w:rsidRPr="00F03DB3">
        <w:rPr>
          <w:b/>
          <w:bCs/>
        </w:rPr>
        <w:t>Qu 3.</w:t>
      </w:r>
    </w:p>
    <w:p w14:paraId="1F24E1D1" w14:textId="77777777" w:rsidR="00D67B29" w:rsidRDefault="00D67B29">
      <w:pPr>
        <w:rPr>
          <w:noProof/>
        </w:rPr>
      </w:pPr>
    </w:p>
    <w:p w14:paraId="32348006" w14:textId="60A59B2C" w:rsidR="00C171B3" w:rsidRDefault="00C171B3">
      <w:pPr>
        <w:rPr>
          <w:noProof/>
        </w:rPr>
      </w:pPr>
      <w:r>
        <w:rPr>
          <w:noProof/>
        </w:rPr>
        <w:lastRenderedPageBreak/>
        <w:t xml:space="preserve"> </w:t>
      </w:r>
      <w:r w:rsidR="002A42D5">
        <w:rPr>
          <w:noProof/>
        </w:rPr>
        <w:drawing>
          <wp:inline distT="0" distB="0" distL="0" distR="0" wp14:anchorId="421362AC" wp14:editId="4C3EC086">
            <wp:extent cx="5725160" cy="266672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791" cy="2701020"/>
                    </a:xfrm>
                    <a:prstGeom prst="rect">
                      <a:avLst/>
                    </a:prstGeom>
                    <a:noFill/>
                  </pic:spPr>
                </pic:pic>
              </a:graphicData>
            </a:graphic>
          </wp:inline>
        </w:drawing>
      </w:r>
    </w:p>
    <w:p w14:paraId="4B7D5A42" w14:textId="17B77B6D" w:rsidR="00C171B3" w:rsidRPr="00C171B3" w:rsidRDefault="00C171B3">
      <w:r w:rsidRPr="00C171B3">
        <w:rPr>
          <w:b/>
          <w:bCs/>
          <w:noProof/>
        </w:rPr>
        <w:t xml:space="preserve">Figure 4. </w:t>
      </w:r>
      <w:r>
        <w:rPr>
          <w:noProof/>
        </w:rPr>
        <w:t xml:space="preserve">The monthly </w:t>
      </w:r>
      <w:r w:rsidR="00212737">
        <w:rPr>
          <w:noProof/>
        </w:rPr>
        <w:t xml:space="preserve">(1782-1785) </w:t>
      </w:r>
      <w:r>
        <w:rPr>
          <w:noProof/>
        </w:rPr>
        <w:t>mortality z-scores for the parish of Blunham in Bedfordshire and the central England temperature data from Manley’s (1974) record.</w:t>
      </w:r>
    </w:p>
    <w:p w14:paraId="79774A80" w14:textId="2F55BFFF" w:rsidR="00DD3DFE" w:rsidRDefault="002E2654">
      <w:r>
        <w:t>There is a clear relationship between mortality and temperature - the highest mortality is still in winter when temperatures are the lowest.</w:t>
      </w:r>
      <w:r w:rsidR="006170C9">
        <w:t xml:space="preserve"> Moreover,</w:t>
      </w:r>
      <w:r>
        <w:t xml:space="preserve"> </w:t>
      </w:r>
      <w:r w:rsidR="006170C9">
        <w:t>i</w:t>
      </w:r>
      <w:r w:rsidR="00EE0BD0">
        <w:t>n January 1784 the temperature drops on</w:t>
      </w:r>
      <w:r w:rsidR="006170C9">
        <w:t xml:space="preserve"> -</w:t>
      </w:r>
      <w:r w:rsidR="00EE0BD0">
        <w:t>0.6</w:t>
      </w:r>
      <w:r w:rsidR="00EE0BD0">
        <w:rPr>
          <w:rFonts w:ascii="Arial" w:hAnsi="Arial" w:cs="Arial"/>
          <w:color w:val="4D5156"/>
          <w:sz w:val="21"/>
          <w:szCs w:val="21"/>
          <w:shd w:val="clear" w:color="auto" w:fill="FFFFFF"/>
        </w:rPr>
        <w:t>°</w:t>
      </w:r>
      <w:r w:rsidR="00EE0BD0">
        <w:t>C and caused the sharp boost in z-score value (5.044). The increased mortality values continue until the March</w:t>
      </w:r>
      <w:r w:rsidR="00C82BE9">
        <w:t xml:space="preserve"> wh</w:t>
      </w:r>
      <w:r w:rsidR="00A44618">
        <w:t>en</w:t>
      </w:r>
      <w:r w:rsidR="00C82BE9">
        <w:t xml:space="preserve"> the air become warmer. </w:t>
      </w:r>
    </w:p>
    <w:p w14:paraId="2BD2D10F" w14:textId="58A557F5" w:rsidR="00A44618" w:rsidRPr="00F03DB3" w:rsidRDefault="00A44618">
      <w:pPr>
        <w:rPr>
          <w:b/>
          <w:bCs/>
        </w:rPr>
      </w:pPr>
      <w:r w:rsidRPr="00F03DB3">
        <w:rPr>
          <w:b/>
          <w:bCs/>
        </w:rPr>
        <w:t>Qu 4.</w:t>
      </w:r>
    </w:p>
    <w:p w14:paraId="7C7C91BE" w14:textId="1DFDA41B" w:rsidR="003A7A16" w:rsidRPr="00B0186F" w:rsidRDefault="003F3C90">
      <w:r>
        <w:t xml:space="preserve">The </w:t>
      </w:r>
      <w:proofErr w:type="spellStart"/>
      <w:r>
        <w:t>Laki</w:t>
      </w:r>
      <w:proofErr w:type="spellEnd"/>
      <w:r>
        <w:t xml:space="preserve"> </w:t>
      </w:r>
      <w:r w:rsidR="00B0186F">
        <w:t xml:space="preserve">(or </w:t>
      </w:r>
      <w:proofErr w:type="spellStart"/>
      <w:r w:rsidR="00B0186F">
        <w:t>Skaftár</w:t>
      </w:r>
      <w:proofErr w:type="spellEnd"/>
      <w:r w:rsidR="00B0186F">
        <w:t xml:space="preserve"> Fires) </w:t>
      </w:r>
      <w:r>
        <w:t xml:space="preserve">eruption began on June 8, 1783 and continued until Feb. 1784. </w:t>
      </w:r>
      <w:r w:rsidR="00B0186F">
        <w:t>It is considered as one of the largest volcanic eruptions in recorded history. The 8 months of lava flows and explosions that ejected an astounding 14.7km</w:t>
      </w:r>
      <w:r w:rsidR="00B0186F">
        <w:rPr>
          <w:vertAlign w:val="superscript"/>
        </w:rPr>
        <w:t>3</w:t>
      </w:r>
      <w:r w:rsidR="00B0186F">
        <w:t xml:space="preserve"> of basaltic lava that run out of 140 vents along a 23 km long set of fissures and cones</w:t>
      </w:r>
      <w:r w:rsidR="00202E4A">
        <w:t xml:space="preserve"> (Grattan at al., 1995). </w:t>
      </w:r>
    </w:p>
    <w:p w14:paraId="71EC6CEE" w14:textId="5E7485FE" w:rsidR="008E1F65" w:rsidRDefault="00463EFF" w:rsidP="006170C9">
      <w:r>
        <w:t>The damaging effect of the volcanic haze and fallout of very fine ash</w:t>
      </w:r>
      <w:r w:rsidR="006170C9">
        <w:t xml:space="preserve"> </w:t>
      </w:r>
      <w:r w:rsidR="003063D1">
        <w:t xml:space="preserve">had a </w:t>
      </w:r>
      <w:proofErr w:type="gramStart"/>
      <w:r>
        <w:t>serious</w:t>
      </w:r>
      <w:r w:rsidR="003063D1">
        <w:t xml:space="preserve"> impact</w:t>
      </w:r>
      <w:r>
        <w:t>s</w:t>
      </w:r>
      <w:proofErr w:type="gramEnd"/>
      <w:r w:rsidR="003063D1">
        <w:t xml:space="preserve"> on the whole Iceland</w:t>
      </w:r>
      <w:r w:rsidR="00B0186F">
        <w:t xml:space="preserve">. </w:t>
      </w:r>
      <w:proofErr w:type="spellStart"/>
      <w:r w:rsidR="00B0186F">
        <w:t>Sulfur</w:t>
      </w:r>
      <w:proofErr w:type="spellEnd"/>
      <w:r w:rsidR="00B0186F">
        <w:t xml:space="preserve"> dioxide </w:t>
      </w:r>
      <w:r w:rsidR="00D840E5">
        <w:t>emitted from the lava flows stayed in relatively small distance to the ground (within 5 km) and created strong acid rains which easily irritate skin, burn holes in leaves and kill trees and shrubs. I</w:t>
      </w:r>
      <w:r w:rsidR="003063D1">
        <w:t>n some areas</w:t>
      </w:r>
      <w:r w:rsidR="00D840E5">
        <w:t>,</w:t>
      </w:r>
      <w:r w:rsidR="003063D1">
        <w:t xml:space="preserve"> </w:t>
      </w:r>
      <w:r>
        <w:t xml:space="preserve">60% of </w:t>
      </w:r>
      <w:r w:rsidR="003063D1">
        <w:t>grazing livestock</w:t>
      </w:r>
      <w:r>
        <w:t xml:space="preserve"> died in less than a year, mainly from chronic fluorosis (</w:t>
      </w:r>
      <w:proofErr w:type="spellStart"/>
      <w:r w:rsidR="006170C9">
        <w:t>Thordarson</w:t>
      </w:r>
      <w:proofErr w:type="spellEnd"/>
      <w:r w:rsidR="00F46E3D">
        <w:t>, 2003</w:t>
      </w:r>
      <w:r w:rsidR="006170C9">
        <w:t>)</w:t>
      </w:r>
      <w:r>
        <w:t>.</w:t>
      </w:r>
      <w:r w:rsidR="00D840E5">
        <w:t xml:space="preserve"> But more importantly, the famine and disease </w:t>
      </w:r>
      <w:r w:rsidR="00280F7F">
        <w:t>resulted from eruption</w:t>
      </w:r>
      <w:r w:rsidR="00BE2241">
        <w:t xml:space="preserve"> and</w:t>
      </w:r>
      <w:r w:rsidR="00280F7F">
        <w:t xml:space="preserve"> </w:t>
      </w:r>
      <w:r w:rsidR="00D840E5">
        <w:t>killed over 10 000 people (</w:t>
      </w:r>
      <w:r w:rsidR="00D840E5" w:rsidRPr="00D840E5">
        <w:t>~22% of the population)</w:t>
      </w:r>
      <w:r w:rsidR="00D840E5">
        <w:t xml:space="preserve"> in Iceland</w:t>
      </w:r>
      <w:r>
        <w:t xml:space="preserve"> (</w:t>
      </w:r>
      <w:proofErr w:type="spellStart"/>
      <w:r w:rsidR="006044D9" w:rsidRPr="006044D9">
        <w:t>D’Arrigo</w:t>
      </w:r>
      <w:proofErr w:type="spellEnd"/>
      <w:r w:rsidR="006044D9" w:rsidRPr="006044D9">
        <w:t xml:space="preserve"> et al, 2011</w:t>
      </w:r>
      <w:r w:rsidR="008E1F65">
        <w:t>)</w:t>
      </w:r>
      <w:r w:rsidR="00D840E5">
        <w:t xml:space="preserve">. </w:t>
      </w:r>
    </w:p>
    <w:p w14:paraId="12CD05DE" w14:textId="623CF462" w:rsidR="00AD60F5" w:rsidRDefault="00280F7F" w:rsidP="00B70C2B">
      <w:r>
        <w:t xml:space="preserve">At the global scale, around 95 </w:t>
      </w:r>
      <w:r w:rsidR="008B7E55">
        <w:t>megatons (</w:t>
      </w:r>
      <w:r>
        <w:t>Mt</w:t>
      </w:r>
      <w:r w:rsidR="008B7E55">
        <w:t>)</w:t>
      </w:r>
      <w:r>
        <w:t xml:space="preserve"> of sulfuric dioxide entered the upper and lower troposphere, so</w:t>
      </w:r>
      <w:r w:rsidR="008B7E55">
        <w:t xml:space="preserve"> also</w:t>
      </w:r>
      <w:r>
        <w:t xml:space="preserve"> the jet stream which </w:t>
      </w:r>
      <w:r w:rsidR="008B7E55">
        <w:t>transported</w:t>
      </w:r>
      <w:r>
        <w:t xml:space="preserve"> these particles around the entire northern hemisphere. </w:t>
      </w:r>
      <w:r w:rsidR="008B7E55">
        <w:t xml:space="preserve">The westerly jet stream at altitudes &lt;15 km is </w:t>
      </w:r>
      <w:r w:rsidR="00BE2241">
        <w:t xml:space="preserve">the </w:t>
      </w:r>
      <w:r w:rsidR="008B7E55">
        <w:t>most common for Icelandic eruptions and show</w:t>
      </w:r>
      <w:r w:rsidR="00BE2241">
        <w:t>s</w:t>
      </w:r>
      <w:r w:rsidR="008B7E55">
        <w:t xml:space="preserve"> the eastwards dispersal from the source (</w:t>
      </w:r>
      <w:proofErr w:type="spellStart"/>
      <w:r w:rsidR="008B7E55">
        <w:t>J</w:t>
      </w:r>
      <w:r w:rsidR="00202E4A">
        <w:t>ó</w:t>
      </w:r>
      <w:r w:rsidR="008B7E55">
        <w:t>nsson</w:t>
      </w:r>
      <w:proofErr w:type="spellEnd"/>
      <w:r w:rsidR="008B7E55">
        <w:t xml:space="preserve">, 1990).  Ashfall’s reports show that the eruption plumes travel to mainland Europe </w:t>
      </w:r>
      <w:r w:rsidR="00463EFF">
        <w:t>up to</w:t>
      </w:r>
      <w:r w:rsidR="008B7E55">
        <w:t xml:space="preserve"> 50 hours when following meandering waves within the jet stream and </w:t>
      </w:r>
      <w:r w:rsidR="00463EFF">
        <w:t>in 16 hours</w:t>
      </w:r>
      <w:r w:rsidR="008B7E55">
        <w:t xml:space="preserve"> when following the straight path</w:t>
      </w:r>
      <w:r w:rsidR="00463EFF">
        <w:t>. This indicate</w:t>
      </w:r>
      <w:r w:rsidR="008E1F65">
        <w:t>s</w:t>
      </w:r>
      <w:r w:rsidR="00463EFF">
        <w:t xml:space="preserve"> mean transport velocities of 15 to 18m/s (</w:t>
      </w:r>
      <w:proofErr w:type="spellStart"/>
      <w:r w:rsidR="00463EFF" w:rsidRPr="006044D9">
        <w:t>Thorarinsoon</w:t>
      </w:r>
      <w:proofErr w:type="spellEnd"/>
      <w:r w:rsidR="00463EFF">
        <w:t>, 1949).</w:t>
      </w:r>
      <w:r w:rsidR="008E1F65">
        <w:t xml:space="preserve"> </w:t>
      </w:r>
    </w:p>
    <w:p w14:paraId="43B37E17" w14:textId="43734863" w:rsidR="009F21C8" w:rsidRDefault="008E1F65" w:rsidP="00212737">
      <w:r>
        <w:t xml:space="preserve">The arrival of haze to Europe makes it one of the greatest disasters of the past millennium - just in Britain are estimated </w:t>
      </w:r>
      <w:r w:rsidRPr="008E1F65">
        <w:rPr>
          <w:rFonts w:ascii="Cambria Math" w:hAnsi="Cambria Math" w:cs="Cambria Math"/>
        </w:rPr>
        <w:t>∼</w:t>
      </w:r>
      <w:r w:rsidRPr="008E1F65">
        <w:t>23,000</w:t>
      </w:r>
      <w:r>
        <w:t xml:space="preserve"> deaths from gas fumes</w:t>
      </w:r>
      <w:r w:rsidR="00AD60F5">
        <w:t xml:space="preserve">. The precise cause of these deaths remains unknown, but many people are certain that dying in unusual numbers had something to do with the hot sulphurous fog (Grattan and </w:t>
      </w:r>
      <w:proofErr w:type="spellStart"/>
      <w:r w:rsidR="00AD60F5">
        <w:t>Brayshay</w:t>
      </w:r>
      <w:proofErr w:type="spellEnd"/>
      <w:r w:rsidR="00AD60F5">
        <w:t xml:space="preserve">, 1995). </w:t>
      </w:r>
      <w:r w:rsidR="00212737">
        <w:t>Huge number of people feel seriously ill wit</w:t>
      </w:r>
      <w:r w:rsidR="00D77616">
        <w:t xml:space="preserve">h </w:t>
      </w:r>
      <w:r w:rsidR="00212737">
        <w:lastRenderedPageBreak/>
        <w:t>symptoms that are associated with chronic air pollution (Durand and Grattan, 2001).</w:t>
      </w:r>
      <w:r w:rsidR="00212737" w:rsidRPr="00212737">
        <w:t xml:space="preserve"> </w:t>
      </w:r>
      <w:r w:rsidR="00D77616">
        <w:t xml:space="preserve">The magnitude of the event can have a profound influence of populations far from an eruption </w:t>
      </w:r>
      <w:r w:rsidR="009B736F">
        <w:t>– the</w:t>
      </w:r>
      <w:r w:rsidR="00D77616">
        <w:t xml:space="preserve"> hot summer air temperatures in July 1783</w:t>
      </w:r>
      <w:r w:rsidR="009F21C8">
        <w:t xml:space="preserve"> in England</w:t>
      </w:r>
      <w:r w:rsidR="00D77616">
        <w:t xml:space="preserve"> (see. Fig 4) became the hottest ever recorded, probably due to released volcanic gasses (Grattan and Sadler 1998</w:t>
      </w:r>
      <w:r w:rsidR="00A3363A">
        <w:t>).</w:t>
      </w:r>
      <w:r w:rsidR="00D77616">
        <w:t xml:space="preserve"> </w:t>
      </w:r>
      <w:r w:rsidR="00F570DA">
        <w:t xml:space="preserve">The poor air quality and high air temperatures in combination, is a modern lethal environmental cocktail (WHO, 2004). </w:t>
      </w:r>
      <w:r w:rsidR="00212737">
        <w:t>But can we blame the influence of the volcano for th</w:t>
      </w:r>
      <w:r w:rsidR="009F21C8">
        <w:t>is all</w:t>
      </w:r>
      <w:r w:rsidR="00212737">
        <w:t>?</w:t>
      </w:r>
      <w:r w:rsidR="00FD11F0">
        <w:t xml:space="preserve"> </w:t>
      </w:r>
    </w:p>
    <w:p w14:paraId="5C920431" w14:textId="350248F0" w:rsidR="00F570DA" w:rsidRDefault="00FD11F0" w:rsidP="00212737">
      <w:r>
        <w:t>The paper by Grattan et al. (</w:t>
      </w:r>
      <w:r w:rsidR="009B736F">
        <w:t>2007</w:t>
      </w:r>
      <w:r>
        <w:t>) stressed that how important is to consider the vulnerability of cultures and environments rather than the magnitude of the eruption itself.</w:t>
      </w:r>
      <w:r w:rsidR="00F570DA">
        <w:t xml:space="preserve"> It is unobjective to identify only a single environmental vector. </w:t>
      </w:r>
      <w:r w:rsidR="00A3363A">
        <w:t>The figure 2 shows a slightly higher values of mortality for the year 1783, but this also happened several times in history</w:t>
      </w:r>
      <w:r w:rsidR="00D70590">
        <w:t>, so nothing special?..</w:t>
      </w:r>
      <w:r w:rsidR="00A3363A">
        <w:t xml:space="preserve">. </w:t>
      </w:r>
      <w:r w:rsidR="00F570DA">
        <w:t>The health context in 17</w:t>
      </w:r>
      <w:r w:rsidR="00A3363A">
        <w:t>8</w:t>
      </w:r>
      <w:r w:rsidR="00F570DA">
        <w:t xml:space="preserve">3 </w:t>
      </w:r>
      <w:r w:rsidR="00A3363A">
        <w:t xml:space="preserve">revealed </w:t>
      </w:r>
      <w:r w:rsidR="00F570DA">
        <w:t xml:space="preserve">threats such as fevers, epidemics, malaria, smallpox, scarlet </w:t>
      </w:r>
      <w:proofErr w:type="gramStart"/>
      <w:r w:rsidR="00F570DA">
        <w:t>fever</w:t>
      </w:r>
      <w:proofErr w:type="gramEnd"/>
      <w:r w:rsidR="00F570DA">
        <w:t xml:space="preserve"> or water-borne enteric illness posed and ever-present threat to the weak, the elderly and even to the young (Grattan,</w:t>
      </w:r>
      <w:r w:rsidR="009B736F">
        <w:t xml:space="preserve"> 2007</w:t>
      </w:r>
      <w:r w:rsidR="00F570DA">
        <w:t>). Moreover, Creighton (1965)</w:t>
      </w:r>
      <w:r w:rsidR="002C6C7D">
        <w:t xml:space="preserve"> described the events of 1783 as “The Epidemic Agues of 1780-1785”</w:t>
      </w:r>
      <w:r w:rsidR="009F21C8">
        <w:t>,</w:t>
      </w:r>
      <w:r w:rsidR="002C6C7D">
        <w:t xml:space="preserve"> </w:t>
      </w:r>
      <w:r w:rsidR="009F21C8">
        <w:t>because of</w:t>
      </w:r>
      <w:r w:rsidR="002C6C7D">
        <w:t xml:space="preserve"> high resilience </w:t>
      </w:r>
      <w:r w:rsidR="009F21C8">
        <w:t xml:space="preserve">of agues </w:t>
      </w:r>
      <w:r w:rsidR="002C6C7D">
        <w:t>to treatment by Peruvian bark. In 1783 intensified an influenza epidemic – a killer in the 18</w:t>
      </w:r>
      <w:r w:rsidR="002C6C7D" w:rsidRPr="002C6C7D">
        <w:rPr>
          <w:vertAlign w:val="superscript"/>
        </w:rPr>
        <w:t>th</w:t>
      </w:r>
      <w:r w:rsidR="002C6C7D">
        <w:t xml:space="preserve"> century. Examples mentioned above are just a fragment of the possible mortality caused factors in the England. </w:t>
      </w:r>
    </w:p>
    <w:p w14:paraId="412E5675"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The great </w:t>
      </w:r>
      <w:proofErr w:type="spellStart"/>
      <w:r w:rsidRPr="00371197">
        <w:rPr>
          <w:rFonts w:ascii="ff2" w:eastAsia="Times New Roman" w:hAnsi="ff2" w:cs="Times New Roman"/>
          <w:color w:val="231F20"/>
          <w:sz w:val="60"/>
          <w:szCs w:val="60"/>
          <w:lang w:eastAsia="en-GB"/>
        </w:rPr>
        <w:t>Laki</w:t>
      </w:r>
      <w:proofErr w:type="spellEnd"/>
      <w:r w:rsidRPr="00371197">
        <w:rPr>
          <w:rFonts w:ascii="ff2" w:eastAsia="Times New Roman" w:hAnsi="ff2" w:cs="Times New Roman"/>
          <w:color w:val="231F20"/>
          <w:sz w:val="60"/>
          <w:szCs w:val="60"/>
          <w:lang w:eastAsia="en-GB"/>
        </w:rPr>
        <w:t xml:space="preserve"> eruption had marked effects on the</w:t>
      </w:r>
    </w:p>
    <w:p w14:paraId="29B795C8"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atmosphere and the environment in the Northern Hemisphere</w:t>
      </w:r>
    </w:p>
    <w:p w14:paraId="02F9D3E1"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in 1783 and 1784. </w:t>
      </w:r>
    </w:p>
    <w:p w14:paraId="0D748387"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The great </w:t>
      </w:r>
      <w:proofErr w:type="spellStart"/>
      <w:r w:rsidRPr="00371197">
        <w:rPr>
          <w:rFonts w:ascii="ff2" w:eastAsia="Times New Roman" w:hAnsi="ff2" w:cs="Times New Roman"/>
          <w:color w:val="231F20"/>
          <w:sz w:val="60"/>
          <w:szCs w:val="60"/>
          <w:lang w:eastAsia="en-GB"/>
        </w:rPr>
        <w:t>Laki</w:t>
      </w:r>
      <w:proofErr w:type="spellEnd"/>
      <w:r w:rsidRPr="00371197">
        <w:rPr>
          <w:rFonts w:ascii="ff2" w:eastAsia="Times New Roman" w:hAnsi="ff2" w:cs="Times New Roman"/>
          <w:color w:val="231F20"/>
          <w:sz w:val="60"/>
          <w:szCs w:val="60"/>
          <w:lang w:eastAsia="en-GB"/>
        </w:rPr>
        <w:t xml:space="preserve"> eruption had marked effects on the</w:t>
      </w:r>
    </w:p>
    <w:p w14:paraId="49E67795"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atmosphere and the environment in the Northern Hemisphere</w:t>
      </w:r>
    </w:p>
    <w:p w14:paraId="53C0A454" w14:textId="1CD78582" w:rsidR="00B0186F"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in 1783 and 1784. </w:t>
      </w:r>
    </w:p>
    <w:p w14:paraId="5268AEC4"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The great </w:t>
      </w:r>
      <w:proofErr w:type="spellStart"/>
      <w:r w:rsidRPr="00371197">
        <w:rPr>
          <w:rFonts w:ascii="ff2" w:eastAsia="Times New Roman" w:hAnsi="ff2" w:cs="Times New Roman"/>
          <w:color w:val="231F20"/>
          <w:sz w:val="60"/>
          <w:szCs w:val="60"/>
          <w:lang w:eastAsia="en-GB"/>
        </w:rPr>
        <w:t>Laki</w:t>
      </w:r>
      <w:proofErr w:type="spellEnd"/>
      <w:r w:rsidRPr="00371197">
        <w:rPr>
          <w:rFonts w:ascii="ff2" w:eastAsia="Times New Roman" w:hAnsi="ff2" w:cs="Times New Roman"/>
          <w:color w:val="231F20"/>
          <w:sz w:val="60"/>
          <w:szCs w:val="60"/>
          <w:lang w:eastAsia="en-GB"/>
        </w:rPr>
        <w:t xml:space="preserve"> eruption had marked effects on the</w:t>
      </w:r>
    </w:p>
    <w:p w14:paraId="15056887"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atmosphere and the environment in the Northern Hemisphere</w:t>
      </w:r>
    </w:p>
    <w:p w14:paraId="0B87B5EC"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in 1783 and 1784.</w:t>
      </w:r>
    </w:p>
    <w:p w14:paraId="16114256"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The great </w:t>
      </w:r>
      <w:proofErr w:type="spellStart"/>
      <w:r w:rsidRPr="00371197">
        <w:rPr>
          <w:rFonts w:ascii="ff2" w:eastAsia="Times New Roman" w:hAnsi="ff2" w:cs="Times New Roman"/>
          <w:color w:val="231F20"/>
          <w:sz w:val="60"/>
          <w:szCs w:val="60"/>
          <w:lang w:eastAsia="en-GB"/>
        </w:rPr>
        <w:t>Laki</w:t>
      </w:r>
      <w:proofErr w:type="spellEnd"/>
      <w:r w:rsidRPr="00371197">
        <w:rPr>
          <w:rFonts w:ascii="ff2" w:eastAsia="Times New Roman" w:hAnsi="ff2" w:cs="Times New Roman"/>
          <w:color w:val="231F20"/>
          <w:sz w:val="60"/>
          <w:szCs w:val="60"/>
          <w:lang w:eastAsia="en-GB"/>
        </w:rPr>
        <w:t xml:space="preserve"> eruption had marked effects on the</w:t>
      </w:r>
    </w:p>
    <w:p w14:paraId="2F2A9AC2"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atmosphere and the environment in the Northern Hemisphere</w:t>
      </w:r>
    </w:p>
    <w:p w14:paraId="107FE330"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in 1783 and 1784.</w:t>
      </w:r>
    </w:p>
    <w:p w14:paraId="7C315101"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The great </w:t>
      </w:r>
      <w:proofErr w:type="spellStart"/>
      <w:r w:rsidRPr="00371197">
        <w:rPr>
          <w:rFonts w:ascii="ff2" w:eastAsia="Times New Roman" w:hAnsi="ff2" w:cs="Times New Roman"/>
          <w:color w:val="231F20"/>
          <w:sz w:val="60"/>
          <w:szCs w:val="60"/>
          <w:lang w:eastAsia="en-GB"/>
        </w:rPr>
        <w:t>Laki</w:t>
      </w:r>
      <w:proofErr w:type="spellEnd"/>
      <w:r w:rsidRPr="00371197">
        <w:rPr>
          <w:rFonts w:ascii="ff2" w:eastAsia="Times New Roman" w:hAnsi="ff2" w:cs="Times New Roman"/>
          <w:color w:val="231F20"/>
          <w:sz w:val="60"/>
          <w:szCs w:val="60"/>
          <w:lang w:eastAsia="en-GB"/>
        </w:rPr>
        <w:t xml:space="preserve"> eruption had marked effects on the</w:t>
      </w:r>
    </w:p>
    <w:p w14:paraId="0AFD8EC6"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atmosphere and the environment in the Northern Hemisphere</w:t>
      </w:r>
    </w:p>
    <w:p w14:paraId="3C5AFBB3" w14:textId="77777777" w:rsidR="00371197" w:rsidRPr="00371197" w:rsidRDefault="00371197" w:rsidP="00371197">
      <w:pPr>
        <w:shd w:val="clear" w:color="auto" w:fill="FFFFFF"/>
        <w:spacing w:after="0" w:line="0" w:lineRule="auto"/>
        <w:rPr>
          <w:rFonts w:ascii="ff2" w:eastAsia="Times New Roman" w:hAnsi="ff2" w:cs="Times New Roman"/>
          <w:color w:val="231F20"/>
          <w:sz w:val="60"/>
          <w:szCs w:val="60"/>
          <w:lang w:eastAsia="en-GB"/>
        </w:rPr>
      </w:pPr>
      <w:r w:rsidRPr="00371197">
        <w:rPr>
          <w:rFonts w:ascii="ff2" w:eastAsia="Times New Roman" w:hAnsi="ff2" w:cs="Times New Roman"/>
          <w:color w:val="231F20"/>
          <w:sz w:val="60"/>
          <w:szCs w:val="60"/>
          <w:lang w:eastAsia="en-GB"/>
        </w:rPr>
        <w:t xml:space="preserve">in 1783 and 1784. </w:t>
      </w:r>
    </w:p>
    <w:p w14:paraId="1A8BDBDF" w14:textId="0D8DBD58" w:rsidR="00B0186F" w:rsidRDefault="00371197" w:rsidP="00B0186F">
      <w:r>
        <w:t xml:space="preserve">Although </w:t>
      </w:r>
      <w:proofErr w:type="spellStart"/>
      <w:r>
        <w:t>Thordarson</w:t>
      </w:r>
      <w:proofErr w:type="spellEnd"/>
      <w:r>
        <w:t xml:space="preserve"> et al. (</w:t>
      </w:r>
      <w:r w:rsidR="009A74DC">
        <w:t>2003</w:t>
      </w:r>
      <w:r>
        <w:t xml:space="preserve">) are convinced that the great </w:t>
      </w:r>
      <w:proofErr w:type="spellStart"/>
      <w:r>
        <w:t>Laki</w:t>
      </w:r>
      <w:proofErr w:type="spellEnd"/>
      <w:r>
        <w:t xml:space="preserve"> eruption had marked effects on the environment and atmosphere in the Northern Hemisphere in 1783-1784, there is contradictory study proving something else. </w:t>
      </w:r>
      <w:r w:rsidR="00B0186F">
        <w:t xml:space="preserve">The research by </w:t>
      </w:r>
      <w:proofErr w:type="spellStart"/>
      <w:r w:rsidR="00B0186F">
        <w:t>D’Arrigo</w:t>
      </w:r>
      <w:proofErr w:type="spellEnd"/>
      <w:r w:rsidR="00B0186F">
        <w:t xml:space="preserve"> et al. (2011) posed a question if the dominant cause of the anomalous winter of 1783-1784 was truly </w:t>
      </w:r>
      <w:proofErr w:type="spellStart"/>
      <w:r w:rsidR="00B0186F">
        <w:t>Laki</w:t>
      </w:r>
      <w:proofErr w:type="spellEnd"/>
      <w:r w:rsidR="00B0186F">
        <w:t xml:space="preserve"> eruption, or rather a combined negative phase of the North Atlantic Oscillation (NAO) and an El Nino-Southern Oscillation (ENSO) warm event. To test this alternative explanation, case-study used proxy-records, observations, and models if a negative NAO-El Nino, as in 2009-2010 were able to cause the same winter conditions as of 1783-1784, without the </w:t>
      </w:r>
      <w:proofErr w:type="spellStart"/>
      <w:r w:rsidR="00B0186F">
        <w:t>Laki’s</w:t>
      </w:r>
      <w:proofErr w:type="spellEnd"/>
      <w:r w:rsidR="00B0186F">
        <w:t xml:space="preserve"> eruption.  Winter during 2009-2010 broke records not only over western Europe, but also in eastern North America. These snowy and cold conditions were attributed to a mentioned NAO and El Nino. The double combination </w:t>
      </w:r>
      <w:r w:rsidR="009B736F">
        <w:t>cooperates</w:t>
      </w:r>
      <w:r w:rsidR="00B0186F">
        <w:t xml:space="preserve"> where an El Nino cause increased snow as enhanced storms impact central-southern latitudes of the U.S., while the NAO add sufficient cold for the precipitation to fall as snow.  600-year tree-ring reconstruction of N</w:t>
      </w:r>
      <w:r w:rsidR="00A24855">
        <w:t>AO</w:t>
      </w:r>
      <w:r w:rsidR="00B0186F">
        <w:t xml:space="preserve"> and ENSO indicators reveal values in the 1783-84 winter second only to their combined severity in 2009-2010. Furthermore, paleo-index had the second highest score of the past 600 years in 1783-1784, with the most severe in 2009-2010. Model simulations and data sources support the hypothesis that negative NAO-ENSO warm phase was the dominant cause of the anomalous winter of 1783-1784. Therefore, events such as famine, crop failure and livestock loss likely resulted from natural variability unconnected to </w:t>
      </w:r>
      <w:proofErr w:type="spellStart"/>
      <w:r w:rsidR="00B0186F">
        <w:t>Laki</w:t>
      </w:r>
      <w:proofErr w:type="spellEnd"/>
      <w:r w:rsidR="00B0186F">
        <w:t xml:space="preserve"> (</w:t>
      </w:r>
      <w:proofErr w:type="spellStart"/>
      <w:r w:rsidR="00B0186F">
        <w:t>D’Arrigo</w:t>
      </w:r>
      <w:proofErr w:type="spellEnd"/>
      <w:r w:rsidR="00B0186F">
        <w:t xml:space="preserve"> et al., 2011). </w:t>
      </w:r>
    </w:p>
    <w:p w14:paraId="3EA7199B" w14:textId="48321309" w:rsidR="00A24855" w:rsidRDefault="00A24855" w:rsidP="00B0186F">
      <w:r>
        <w:t xml:space="preserve">To what extent the </w:t>
      </w:r>
      <w:proofErr w:type="spellStart"/>
      <w:r>
        <w:t>Laki</w:t>
      </w:r>
      <w:proofErr w:type="spellEnd"/>
      <w:r>
        <w:t xml:space="preserve"> eruption influenced </w:t>
      </w:r>
      <w:r w:rsidR="00036263">
        <w:t xml:space="preserve">climate, the environment, and human health </w:t>
      </w:r>
      <w:r>
        <w:t>is for now debatable.</w:t>
      </w:r>
      <w:r w:rsidR="00036263">
        <w:t xml:space="preserve"> Our</w:t>
      </w:r>
      <w:r>
        <w:t xml:space="preserve"> world is a sophisticated system with uncountable mechanisms that are necessary </w:t>
      </w:r>
      <w:r w:rsidR="00036263">
        <w:t>to</w:t>
      </w:r>
      <w:r>
        <w:t xml:space="preserve"> preserve equilibrium</w:t>
      </w:r>
      <w:r w:rsidR="00036263">
        <w:t>.</w:t>
      </w:r>
      <w:r>
        <w:t xml:space="preserve"> </w:t>
      </w:r>
      <w:r w:rsidR="00036263">
        <w:t>Therefore, this</w:t>
      </w:r>
      <w:r>
        <w:t xml:space="preserve"> requires an approach with focus on a consideration of cultures and environments in detail rather than in abstract (Driessen, 2002). </w:t>
      </w:r>
      <w:r w:rsidR="00036263">
        <w:t xml:space="preserve"> </w:t>
      </w:r>
    </w:p>
    <w:p w14:paraId="053B2619" w14:textId="493130BF" w:rsidR="00A24855" w:rsidRDefault="00A24855" w:rsidP="00B0186F"/>
    <w:p w14:paraId="7F27FAE8" w14:textId="3BD18939" w:rsidR="00A24855" w:rsidRDefault="00A24855" w:rsidP="00B0186F"/>
    <w:p w14:paraId="708A1BC2" w14:textId="7D57C953" w:rsidR="00A24855" w:rsidRDefault="00A24855" w:rsidP="00B0186F"/>
    <w:p w14:paraId="2BD36C11" w14:textId="68E585D7" w:rsidR="00A24855" w:rsidRDefault="00A24855" w:rsidP="00B0186F"/>
    <w:p w14:paraId="484C75C0" w14:textId="384E2F20" w:rsidR="00A24855" w:rsidRDefault="00A24855" w:rsidP="00B0186F"/>
    <w:p w14:paraId="2A72B971" w14:textId="0E40DD39" w:rsidR="00A24855" w:rsidRDefault="00A24855" w:rsidP="00B0186F"/>
    <w:p w14:paraId="69739DE2" w14:textId="77777777" w:rsidR="00A24855" w:rsidRDefault="00A24855" w:rsidP="00B0186F"/>
    <w:p w14:paraId="770E1B76" w14:textId="4987FE42" w:rsidR="00CC5D8D" w:rsidRDefault="009A74DC">
      <w:pPr>
        <w:rPr>
          <w:b/>
          <w:bCs/>
        </w:rPr>
      </w:pPr>
      <w:r w:rsidRPr="009A74DC">
        <w:rPr>
          <w:b/>
          <w:bCs/>
        </w:rPr>
        <w:t>References</w:t>
      </w:r>
    </w:p>
    <w:p w14:paraId="634D7F19" w14:textId="256FE063" w:rsidR="00460015" w:rsidRDefault="00460015" w:rsidP="009A74DC">
      <w:pPr>
        <w:spacing w:line="252" w:lineRule="auto"/>
        <w:ind w:left="425" w:hanging="425"/>
        <w:jc w:val="both"/>
        <w:rPr>
          <w:rFonts w:ascii="Calibri" w:hAnsi="Calibri" w:cs="Arial"/>
        </w:rPr>
      </w:pPr>
      <w:r>
        <w:t>Creighton, C (1965) A History of Epidemics in Britain, vol 2, Cambridge, Cambridge University Press</w:t>
      </w:r>
    </w:p>
    <w:p w14:paraId="28C94E18" w14:textId="38ACD735" w:rsidR="009A74DC" w:rsidRDefault="009A74DC" w:rsidP="009A74DC">
      <w:pPr>
        <w:spacing w:line="252" w:lineRule="auto"/>
        <w:ind w:left="425" w:hanging="425"/>
        <w:jc w:val="both"/>
        <w:rPr>
          <w:rFonts w:ascii="Calibri" w:hAnsi="Calibri" w:cs="Arial"/>
        </w:rPr>
      </w:pPr>
      <w:proofErr w:type="spellStart"/>
      <w:r w:rsidRPr="004B1627">
        <w:rPr>
          <w:rFonts w:ascii="Calibri" w:hAnsi="Calibri" w:cs="Arial"/>
        </w:rPr>
        <w:t>D’Arrigo</w:t>
      </w:r>
      <w:proofErr w:type="spellEnd"/>
      <w:r w:rsidRPr="004B1627">
        <w:rPr>
          <w:rFonts w:ascii="Calibri" w:hAnsi="Calibri" w:cs="Arial"/>
        </w:rPr>
        <w:t xml:space="preserve">, R, Seager, R, </w:t>
      </w:r>
      <w:proofErr w:type="spellStart"/>
      <w:r w:rsidRPr="004B1627">
        <w:rPr>
          <w:rFonts w:ascii="Calibri" w:hAnsi="Calibri" w:cs="Arial"/>
        </w:rPr>
        <w:t>Smerdon</w:t>
      </w:r>
      <w:proofErr w:type="spellEnd"/>
      <w:r w:rsidRPr="004B1627">
        <w:rPr>
          <w:rFonts w:ascii="Calibri" w:hAnsi="Calibri" w:cs="Arial"/>
        </w:rPr>
        <w:t>, JE, et al. 2011</w:t>
      </w:r>
      <w:r>
        <w:rPr>
          <w:rFonts w:ascii="Calibri" w:hAnsi="Calibri" w:cs="Arial"/>
        </w:rPr>
        <w:t>.</w:t>
      </w:r>
      <w:r w:rsidRPr="004B1627">
        <w:rPr>
          <w:rFonts w:ascii="Calibri" w:hAnsi="Calibri" w:cs="Arial"/>
        </w:rPr>
        <w:t xml:space="preserve"> The anomalous winter of 1783–1784: Was the </w:t>
      </w:r>
      <w:proofErr w:type="spellStart"/>
      <w:r w:rsidRPr="004B1627">
        <w:rPr>
          <w:rFonts w:ascii="Calibri" w:hAnsi="Calibri" w:cs="Arial"/>
        </w:rPr>
        <w:t>Laki</w:t>
      </w:r>
      <w:proofErr w:type="spellEnd"/>
      <w:r w:rsidRPr="004B1627">
        <w:rPr>
          <w:rFonts w:ascii="Calibri" w:hAnsi="Calibri" w:cs="Arial"/>
        </w:rPr>
        <w:t xml:space="preserve"> eruption or an </w:t>
      </w:r>
      <w:proofErr w:type="spellStart"/>
      <w:r w:rsidRPr="004B1627">
        <w:rPr>
          <w:rFonts w:ascii="Calibri" w:hAnsi="Calibri" w:cs="Arial"/>
        </w:rPr>
        <w:t>analog</w:t>
      </w:r>
      <w:proofErr w:type="spellEnd"/>
      <w:r w:rsidRPr="004B1627">
        <w:rPr>
          <w:rFonts w:ascii="Calibri" w:hAnsi="Calibri" w:cs="Arial"/>
        </w:rPr>
        <w:t xml:space="preserve"> of the 2009–2010 winter to blame? </w:t>
      </w:r>
      <w:r w:rsidRPr="004B1627">
        <w:rPr>
          <w:rFonts w:ascii="Calibri" w:hAnsi="Calibri" w:cs="Arial"/>
          <w:i/>
          <w:iCs/>
        </w:rPr>
        <w:t>Geophysical Research Letters</w:t>
      </w:r>
      <w:r w:rsidRPr="004B1627">
        <w:rPr>
          <w:rFonts w:ascii="Calibri" w:hAnsi="Calibri" w:cs="Arial"/>
        </w:rPr>
        <w:t xml:space="preserve"> 38: L05706.</w:t>
      </w:r>
    </w:p>
    <w:p w14:paraId="59C8CC8B" w14:textId="7B1AD23F" w:rsidR="00460015" w:rsidRDefault="00460015" w:rsidP="009A74DC">
      <w:pPr>
        <w:spacing w:line="252" w:lineRule="auto"/>
        <w:ind w:left="425" w:hanging="425"/>
        <w:jc w:val="both"/>
        <w:rPr>
          <w:rFonts w:ascii="Calibri" w:hAnsi="Calibri" w:cs="Arial"/>
        </w:rPr>
      </w:pPr>
      <w:r>
        <w:t>Durand, M and Grattan, JP (2001) ‘Volcanoes, air pollution and health’, The Lancet 357, 164 Gentleman’s Magazine, The. A monthly serial published 1731–</w:t>
      </w:r>
      <w:proofErr w:type="gramStart"/>
      <w:r>
        <w:t>1914</w:t>
      </w:r>
      <w:proofErr w:type="gramEnd"/>
    </w:p>
    <w:p w14:paraId="376F8A56" w14:textId="77777777" w:rsidR="009A74DC" w:rsidRPr="00756F7B" w:rsidRDefault="009A74DC" w:rsidP="009A74DC">
      <w:pPr>
        <w:spacing w:before="80" w:line="252" w:lineRule="auto"/>
        <w:ind w:left="425" w:right="-3" w:hanging="425"/>
        <w:jc w:val="both"/>
        <w:rPr>
          <w:rFonts w:ascii="Calibri" w:hAnsi="Calibri" w:cs="Arial"/>
        </w:rPr>
      </w:pPr>
      <w:r w:rsidRPr="00756F7B">
        <w:rPr>
          <w:rFonts w:ascii="Calibri" w:hAnsi="Calibri" w:cs="Arial"/>
        </w:rPr>
        <w:t xml:space="preserve">Grattan, J.P. and </w:t>
      </w:r>
      <w:proofErr w:type="spellStart"/>
      <w:r w:rsidRPr="00756F7B">
        <w:rPr>
          <w:rFonts w:ascii="Calibri" w:hAnsi="Calibri" w:cs="Arial"/>
        </w:rPr>
        <w:t>Brayshay</w:t>
      </w:r>
      <w:proofErr w:type="spellEnd"/>
      <w:r w:rsidRPr="00756F7B">
        <w:rPr>
          <w:rFonts w:ascii="Calibri" w:hAnsi="Calibri" w:cs="Arial"/>
        </w:rPr>
        <w:t xml:space="preserve">, M. 1995: An amazing and portentous summer: environmental and social responses in Britain to the 1783 eruption of an Iceland volcano. </w:t>
      </w:r>
      <w:r w:rsidRPr="00756F7B">
        <w:rPr>
          <w:rFonts w:ascii="Calibri" w:hAnsi="Calibri" w:cs="Arial"/>
          <w:i/>
          <w:iCs/>
        </w:rPr>
        <w:t>The Geographical Journal</w:t>
      </w:r>
      <w:r w:rsidRPr="00756F7B">
        <w:rPr>
          <w:rFonts w:ascii="Calibri" w:hAnsi="Calibri" w:cs="Arial"/>
        </w:rPr>
        <w:t xml:space="preserve"> </w:t>
      </w:r>
      <w:r w:rsidRPr="00756F7B">
        <w:rPr>
          <w:rFonts w:ascii="Calibri" w:hAnsi="Calibri" w:cs="Arial"/>
          <w:b/>
          <w:bCs/>
        </w:rPr>
        <w:t>161</w:t>
      </w:r>
      <w:r w:rsidRPr="00756F7B">
        <w:rPr>
          <w:rFonts w:ascii="Calibri" w:hAnsi="Calibri" w:cs="Arial"/>
        </w:rPr>
        <w:t>, 125-134.</w:t>
      </w:r>
    </w:p>
    <w:p w14:paraId="0586A566" w14:textId="77777777" w:rsidR="00A8453B" w:rsidRDefault="00A8453B" w:rsidP="00A8453B">
      <w:r>
        <w:t xml:space="preserve">Grattan, JP and Sadler, J (1998) ‘Regional warming of the lower atmosphere in the wake of volcanic eruptions: the role of the </w:t>
      </w:r>
      <w:proofErr w:type="spellStart"/>
      <w:r>
        <w:t>Laki</w:t>
      </w:r>
      <w:proofErr w:type="spellEnd"/>
      <w:r>
        <w:t xml:space="preserve"> fissure eruption in the hot summer of 1783’, Geological Society Special Publication 161 Volcanoes in the Quaternary, 161, 161–72</w:t>
      </w:r>
    </w:p>
    <w:p w14:paraId="738A53D8" w14:textId="77777777" w:rsidR="00A8453B" w:rsidRDefault="00A8453B" w:rsidP="00A8453B">
      <w:proofErr w:type="spellStart"/>
      <w:r>
        <w:t>Jónnson</w:t>
      </w:r>
      <w:proofErr w:type="spellEnd"/>
      <w:r>
        <w:t xml:space="preserve">, T., Dispersal directions of volcanic plumes from Icelandic eruptions., 60, 103-105, 1990. </w:t>
      </w:r>
    </w:p>
    <w:p w14:paraId="009F9032" w14:textId="77777777" w:rsidR="00A8453B" w:rsidRDefault="00A8453B" w:rsidP="00A8453B">
      <w:proofErr w:type="spellStart"/>
      <w:r>
        <w:t>Thorarinsson</w:t>
      </w:r>
      <w:proofErr w:type="spellEnd"/>
      <w:r>
        <w:t xml:space="preserve">, S., The eruption of Hekla 1947-48-The Approach and beginning of the Hekla </w:t>
      </w:r>
      <w:proofErr w:type="gramStart"/>
      <w:r>
        <w:t xml:space="preserve">Eruption,   </w:t>
      </w:r>
      <w:proofErr w:type="gramEnd"/>
      <w:r>
        <w:t xml:space="preserve">    </w:t>
      </w:r>
      <w:r w:rsidRPr="00F46E3D">
        <w:rPr>
          <w:i/>
          <w:iCs/>
        </w:rPr>
        <w:t>Soc. Sci. Isl., Spec. Publ., 2</w:t>
      </w:r>
      <w:r>
        <w:t xml:space="preserve">, 1-23, 1949. </w:t>
      </w:r>
    </w:p>
    <w:p w14:paraId="1C544A23" w14:textId="77777777" w:rsidR="009A74DC" w:rsidRPr="00756F7B" w:rsidRDefault="009A74DC" w:rsidP="009A74DC">
      <w:pPr>
        <w:spacing w:before="80" w:line="252" w:lineRule="auto"/>
        <w:ind w:left="425" w:right="-3" w:hanging="425"/>
        <w:jc w:val="both"/>
        <w:rPr>
          <w:rFonts w:ascii="Calibri" w:hAnsi="Calibri" w:cs="Arial"/>
        </w:rPr>
      </w:pPr>
      <w:proofErr w:type="spellStart"/>
      <w:r w:rsidRPr="004B1627">
        <w:rPr>
          <w:rFonts w:ascii="Calibri" w:hAnsi="Calibri" w:cs="Arial"/>
        </w:rPr>
        <w:t>Thordarson</w:t>
      </w:r>
      <w:proofErr w:type="spellEnd"/>
      <w:r w:rsidRPr="004B1627">
        <w:rPr>
          <w:rFonts w:ascii="Calibri" w:hAnsi="Calibri" w:cs="Arial"/>
        </w:rPr>
        <w:t xml:space="preserve">, T, Self, S (2003) Atmospheric and environmental effects of the 1783–1784 </w:t>
      </w:r>
      <w:proofErr w:type="spellStart"/>
      <w:r w:rsidRPr="004B1627">
        <w:rPr>
          <w:rFonts w:ascii="Calibri" w:hAnsi="Calibri" w:cs="Arial"/>
        </w:rPr>
        <w:t>Laki</w:t>
      </w:r>
      <w:proofErr w:type="spellEnd"/>
      <w:r w:rsidRPr="004B1627">
        <w:rPr>
          <w:rFonts w:ascii="Calibri" w:hAnsi="Calibri" w:cs="Arial"/>
        </w:rPr>
        <w:t xml:space="preserve"> eruption: A review and reassessment</w:t>
      </w:r>
      <w:r w:rsidRPr="004B1627">
        <w:rPr>
          <w:rFonts w:ascii="Calibri" w:hAnsi="Calibri" w:cs="Arial"/>
          <w:i/>
          <w:iCs/>
        </w:rPr>
        <w:t>. Journal of Geophysical Research</w:t>
      </w:r>
      <w:r w:rsidRPr="004B1627">
        <w:rPr>
          <w:rFonts w:ascii="Calibri" w:hAnsi="Calibri" w:cs="Arial"/>
        </w:rPr>
        <w:t xml:space="preserve"> </w:t>
      </w:r>
      <w:r w:rsidRPr="004B1627">
        <w:rPr>
          <w:rFonts w:ascii="Calibri" w:hAnsi="Calibri" w:cs="Arial"/>
          <w:b/>
          <w:bCs/>
        </w:rPr>
        <w:t>108</w:t>
      </w:r>
      <w:r>
        <w:rPr>
          <w:rFonts w:ascii="Calibri" w:hAnsi="Calibri" w:cs="Arial"/>
        </w:rPr>
        <w:t>,</w:t>
      </w:r>
      <w:r w:rsidRPr="004B1627">
        <w:rPr>
          <w:rFonts w:ascii="Calibri" w:hAnsi="Calibri" w:cs="Arial"/>
        </w:rPr>
        <w:t xml:space="preserve"> D14011.</w:t>
      </w:r>
    </w:p>
    <w:p w14:paraId="20C4A174" w14:textId="77777777" w:rsidR="00F46E3D" w:rsidRPr="00F46E3D" w:rsidRDefault="00F46E3D" w:rsidP="00F46E3D">
      <w:pPr>
        <w:shd w:val="clear" w:color="auto" w:fill="FFFFFF"/>
        <w:spacing w:after="0" w:line="0" w:lineRule="auto"/>
        <w:rPr>
          <w:rFonts w:ascii="ff2" w:eastAsia="Times New Roman" w:hAnsi="ff2" w:cs="Times New Roman"/>
          <w:color w:val="231F20"/>
          <w:sz w:val="48"/>
          <w:szCs w:val="48"/>
          <w:lang w:eastAsia="en-GB"/>
        </w:rPr>
      </w:pPr>
      <w:proofErr w:type="spellStart"/>
      <w:r w:rsidRPr="00F46E3D">
        <w:rPr>
          <w:rFonts w:ascii="ff2" w:eastAsia="Times New Roman" w:hAnsi="ff2" w:cs="Times New Roman"/>
          <w:color w:val="231F20"/>
          <w:sz w:val="48"/>
          <w:szCs w:val="48"/>
          <w:lang w:eastAsia="en-GB"/>
        </w:rPr>
        <w:t>Thorarinsson</w:t>
      </w:r>
      <w:proofErr w:type="spellEnd"/>
      <w:r w:rsidRPr="00F46E3D">
        <w:rPr>
          <w:rFonts w:ascii="ff2" w:eastAsia="Times New Roman" w:hAnsi="ff2" w:cs="Times New Roman"/>
          <w:color w:val="231F20"/>
          <w:sz w:val="48"/>
          <w:szCs w:val="48"/>
          <w:lang w:eastAsia="en-GB"/>
        </w:rPr>
        <w:t>, S., The eruption of Hekla 1947 – 48—The Approach and</w:t>
      </w:r>
    </w:p>
    <w:p w14:paraId="3272A354" w14:textId="77777777" w:rsidR="00F46E3D" w:rsidRPr="00F46E3D" w:rsidRDefault="00F46E3D" w:rsidP="00F46E3D">
      <w:pPr>
        <w:shd w:val="clear" w:color="auto" w:fill="FFFFFF"/>
        <w:spacing w:after="0" w:line="0" w:lineRule="auto"/>
        <w:rPr>
          <w:rFonts w:ascii="ff2" w:eastAsia="Times New Roman" w:hAnsi="ff2" w:cs="Times New Roman"/>
          <w:color w:val="231F20"/>
          <w:sz w:val="48"/>
          <w:szCs w:val="48"/>
          <w:lang w:eastAsia="en-GB"/>
        </w:rPr>
      </w:pPr>
      <w:r w:rsidRPr="00F46E3D">
        <w:rPr>
          <w:rFonts w:ascii="ff2" w:eastAsia="Times New Roman" w:hAnsi="ff2" w:cs="Times New Roman"/>
          <w:color w:val="231F20"/>
          <w:sz w:val="48"/>
          <w:szCs w:val="48"/>
          <w:lang w:eastAsia="en-GB"/>
        </w:rPr>
        <w:t xml:space="preserve">beginning of the Hekla Eruption, </w:t>
      </w:r>
      <w:r w:rsidRPr="00F46E3D">
        <w:rPr>
          <w:rFonts w:ascii="ff5" w:eastAsia="Times New Roman" w:hAnsi="ff5" w:cs="Times New Roman"/>
          <w:color w:val="231F20"/>
          <w:sz w:val="48"/>
          <w:szCs w:val="48"/>
          <w:lang w:eastAsia="en-GB"/>
        </w:rPr>
        <w:t>Soc. Sci. Isl., Spec. Publ.</w:t>
      </w:r>
      <w:r w:rsidRPr="00F46E3D">
        <w:rPr>
          <w:rFonts w:ascii="ff2" w:eastAsia="Times New Roman" w:hAnsi="ff2" w:cs="Times New Roman"/>
          <w:color w:val="231F20"/>
          <w:sz w:val="48"/>
          <w:szCs w:val="48"/>
          <w:lang w:eastAsia="en-GB"/>
        </w:rPr>
        <w:t xml:space="preserve">, </w:t>
      </w:r>
      <w:r w:rsidRPr="00F46E3D">
        <w:rPr>
          <w:rFonts w:ascii="ff5" w:eastAsia="Times New Roman" w:hAnsi="ff5" w:cs="Times New Roman"/>
          <w:color w:val="231F20"/>
          <w:sz w:val="48"/>
          <w:szCs w:val="48"/>
          <w:lang w:eastAsia="en-GB"/>
        </w:rPr>
        <w:t>2</w:t>
      </w:r>
      <w:r w:rsidRPr="00F46E3D">
        <w:rPr>
          <w:rFonts w:ascii="ff2" w:eastAsia="Times New Roman" w:hAnsi="ff2" w:cs="Times New Roman"/>
          <w:color w:val="231F20"/>
          <w:sz w:val="48"/>
          <w:szCs w:val="48"/>
          <w:lang w:eastAsia="en-GB"/>
        </w:rPr>
        <w:t>, 1– 23,</w:t>
      </w:r>
    </w:p>
    <w:p w14:paraId="72F08C3A" w14:textId="77777777" w:rsidR="00F46E3D" w:rsidRPr="00F46E3D" w:rsidRDefault="00F46E3D" w:rsidP="00F46E3D">
      <w:pPr>
        <w:shd w:val="clear" w:color="auto" w:fill="FFFFFF"/>
        <w:spacing w:after="0" w:line="0" w:lineRule="auto"/>
        <w:rPr>
          <w:rFonts w:ascii="ff2" w:eastAsia="Times New Roman" w:hAnsi="ff2" w:cs="Times New Roman"/>
          <w:color w:val="231F20"/>
          <w:sz w:val="48"/>
          <w:szCs w:val="48"/>
          <w:lang w:eastAsia="en-GB"/>
        </w:rPr>
      </w:pPr>
      <w:r w:rsidRPr="00F46E3D">
        <w:rPr>
          <w:rFonts w:ascii="ff2" w:eastAsia="Times New Roman" w:hAnsi="ff2" w:cs="Times New Roman"/>
          <w:color w:val="231F20"/>
          <w:sz w:val="48"/>
          <w:szCs w:val="48"/>
          <w:lang w:eastAsia="en-GB"/>
        </w:rPr>
        <w:t>1949</w:t>
      </w:r>
    </w:p>
    <w:p w14:paraId="622F8948" w14:textId="635AA77C" w:rsidR="00460015" w:rsidRDefault="00460015" w:rsidP="00F46E3D">
      <w:r>
        <w:t>World Health Organisation (2004) Heat waves, risks and responses, Geneva WHO</w:t>
      </w:r>
    </w:p>
    <w:p w14:paraId="12236874" w14:textId="736ADFB6" w:rsidR="00F46E3D" w:rsidRDefault="00F46E3D" w:rsidP="00F46E3D"/>
    <w:p w14:paraId="66154472" w14:textId="58EFC904" w:rsidR="00F46E3D" w:rsidRDefault="00F46E3D" w:rsidP="00F46E3D"/>
    <w:p w14:paraId="01FF851C" w14:textId="42A230CE" w:rsidR="00F46E3D" w:rsidRDefault="00F46E3D" w:rsidP="00F46E3D"/>
    <w:p w14:paraId="330E0553" w14:textId="77777777" w:rsidR="00F46E3D" w:rsidRPr="00F46E3D" w:rsidRDefault="00F46E3D" w:rsidP="00F46E3D"/>
    <w:sectPr w:rsidR="00F46E3D" w:rsidRPr="00F46E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1AC46" w14:textId="77777777" w:rsidR="00D9354B" w:rsidRDefault="00D9354B" w:rsidP="008A309B">
      <w:pPr>
        <w:spacing w:after="0" w:line="240" w:lineRule="auto"/>
      </w:pPr>
      <w:r>
        <w:separator/>
      </w:r>
    </w:p>
  </w:endnote>
  <w:endnote w:type="continuationSeparator" w:id="0">
    <w:p w14:paraId="175FF2F9" w14:textId="77777777" w:rsidR="00D9354B" w:rsidRDefault="00D9354B" w:rsidP="008A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47582" w14:textId="77777777" w:rsidR="00D9354B" w:rsidRDefault="00D9354B" w:rsidP="008A309B">
      <w:pPr>
        <w:spacing w:after="0" w:line="240" w:lineRule="auto"/>
      </w:pPr>
      <w:r>
        <w:separator/>
      </w:r>
    </w:p>
  </w:footnote>
  <w:footnote w:type="continuationSeparator" w:id="0">
    <w:p w14:paraId="4C0FB540" w14:textId="77777777" w:rsidR="00D9354B" w:rsidRDefault="00D9354B" w:rsidP="008A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915B4" w14:textId="73220504" w:rsidR="008A309B" w:rsidRDefault="008A309B">
    <w:pPr>
      <w:pStyle w:val="Header"/>
    </w:pPr>
    <w:r>
      <w:t>51985563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1C"/>
    <w:rsid w:val="00036263"/>
    <w:rsid w:val="000465A7"/>
    <w:rsid w:val="0005611C"/>
    <w:rsid w:val="000C5D16"/>
    <w:rsid w:val="001664F1"/>
    <w:rsid w:val="001C73F7"/>
    <w:rsid w:val="001D7607"/>
    <w:rsid w:val="00202E4A"/>
    <w:rsid w:val="00212737"/>
    <w:rsid w:val="0024444B"/>
    <w:rsid w:val="00280F7F"/>
    <w:rsid w:val="002A42D5"/>
    <w:rsid w:val="002C6C7D"/>
    <w:rsid w:val="002E2654"/>
    <w:rsid w:val="003063D1"/>
    <w:rsid w:val="00354558"/>
    <w:rsid w:val="00362220"/>
    <w:rsid w:val="00366AA7"/>
    <w:rsid w:val="00371197"/>
    <w:rsid w:val="003A7A16"/>
    <w:rsid w:val="003C15BF"/>
    <w:rsid w:val="003F3C90"/>
    <w:rsid w:val="00460015"/>
    <w:rsid w:val="00463EFF"/>
    <w:rsid w:val="004A74EE"/>
    <w:rsid w:val="0052441C"/>
    <w:rsid w:val="005E0F0B"/>
    <w:rsid w:val="006044D9"/>
    <w:rsid w:val="006170C9"/>
    <w:rsid w:val="00694584"/>
    <w:rsid w:val="006F5304"/>
    <w:rsid w:val="007B4F18"/>
    <w:rsid w:val="008A309B"/>
    <w:rsid w:val="008B7E55"/>
    <w:rsid w:val="008E1F65"/>
    <w:rsid w:val="0093054C"/>
    <w:rsid w:val="00932A57"/>
    <w:rsid w:val="009453FE"/>
    <w:rsid w:val="009A74DC"/>
    <w:rsid w:val="009B2E4E"/>
    <w:rsid w:val="009B736F"/>
    <w:rsid w:val="009F21C8"/>
    <w:rsid w:val="00A24855"/>
    <w:rsid w:val="00A3363A"/>
    <w:rsid w:val="00A44618"/>
    <w:rsid w:val="00A8453B"/>
    <w:rsid w:val="00A96F96"/>
    <w:rsid w:val="00AD2634"/>
    <w:rsid w:val="00AD60F5"/>
    <w:rsid w:val="00B0186F"/>
    <w:rsid w:val="00B4269F"/>
    <w:rsid w:val="00B70C2B"/>
    <w:rsid w:val="00BC616B"/>
    <w:rsid w:val="00BE2241"/>
    <w:rsid w:val="00C1632F"/>
    <w:rsid w:val="00C171B3"/>
    <w:rsid w:val="00C36D1F"/>
    <w:rsid w:val="00C82BE9"/>
    <w:rsid w:val="00CC5D8D"/>
    <w:rsid w:val="00D0106F"/>
    <w:rsid w:val="00D01FA8"/>
    <w:rsid w:val="00D24FFC"/>
    <w:rsid w:val="00D67B29"/>
    <w:rsid w:val="00D70590"/>
    <w:rsid w:val="00D77616"/>
    <w:rsid w:val="00D840E5"/>
    <w:rsid w:val="00D9354B"/>
    <w:rsid w:val="00DD3DFE"/>
    <w:rsid w:val="00E039E8"/>
    <w:rsid w:val="00E30538"/>
    <w:rsid w:val="00EE0BD0"/>
    <w:rsid w:val="00F03DB3"/>
    <w:rsid w:val="00F30877"/>
    <w:rsid w:val="00F46E3D"/>
    <w:rsid w:val="00F570DA"/>
    <w:rsid w:val="00FD1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B8F2"/>
  <w15:chartTrackingRefBased/>
  <w15:docId w15:val="{F700408B-292A-413A-A0CB-912304D1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E55"/>
    <w:rPr>
      <w:sz w:val="16"/>
      <w:szCs w:val="16"/>
    </w:rPr>
  </w:style>
  <w:style w:type="paragraph" w:styleId="CommentText">
    <w:name w:val="annotation text"/>
    <w:basedOn w:val="Normal"/>
    <w:link w:val="CommentTextChar"/>
    <w:uiPriority w:val="99"/>
    <w:semiHidden/>
    <w:unhideWhenUsed/>
    <w:rsid w:val="008B7E55"/>
    <w:pPr>
      <w:spacing w:line="240" w:lineRule="auto"/>
    </w:pPr>
    <w:rPr>
      <w:sz w:val="20"/>
      <w:szCs w:val="20"/>
    </w:rPr>
  </w:style>
  <w:style w:type="character" w:customStyle="1" w:styleId="CommentTextChar">
    <w:name w:val="Comment Text Char"/>
    <w:basedOn w:val="DefaultParagraphFont"/>
    <w:link w:val="CommentText"/>
    <w:uiPriority w:val="99"/>
    <w:semiHidden/>
    <w:rsid w:val="008B7E55"/>
    <w:rPr>
      <w:sz w:val="20"/>
      <w:szCs w:val="20"/>
    </w:rPr>
  </w:style>
  <w:style w:type="paragraph" w:styleId="CommentSubject">
    <w:name w:val="annotation subject"/>
    <w:basedOn w:val="CommentText"/>
    <w:next w:val="CommentText"/>
    <w:link w:val="CommentSubjectChar"/>
    <w:uiPriority w:val="99"/>
    <w:semiHidden/>
    <w:unhideWhenUsed/>
    <w:rsid w:val="008B7E55"/>
    <w:rPr>
      <w:b/>
      <w:bCs/>
    </w:rPr>
  </w:style>
  <w:style w:type="character" w:customStyle="1" w:styleId="CommentSubjectChar">
    <w:name w:val="Comment Subject Char"/>
    <w:basedOn w:val="CommentTextChar"/>
    <w:link w:val="CommentSubject"/>
    <w:uiPriority w:val="99"/>
    <w:semiHidden/>
    <w:rsid w:val="008B7E55"/>
    <w:rPr>
      <w:b/>
      <w:bCs/>
      <w:sz w:val="20"/>
      <w:szCs w:val="20"/>
    </w:rPr>
  </w:style>
  <w:style w:type="character" w:customStyle="1" w:styleId="ls5">
    <w:name w:val="ls5"/>
    <w:basedOn w:val="DefaultParagraphFont"/>
    <w:rsid w:val="00371197"/>
  </w:style>
  <w:style w:type="character" w:customStyle="1" w:styleId="a">
    <w:name w:val="_"/>
    <w:basedOn w:val="DefaultParagraphFont"/>
    <w:rsid w:val="00371197"/>
  </w:style>
  <w:style w:type="character" w:customStyle="1" w:styleId="ff5">
    <w:name w:val="ff5"/>
    <w:basedOn w:val="DefaultParagraphFont"/>
    <w:rsid w:val="00F46E3D"/>
  </w:style>
  <w:style w:type="character" w:customStyle="1" w:styleId="ls0">
    <w:name w:val="ls0"/>
    <w:basedOn w:val="DefaultParagraphFont"/>
    <w:rsid w:val="00F46E3D"/>
  </w:style>
  <w:style w:type="paragraph" w:styleId="Header">
    <w:name w:val="header"/>
    <w:basedOn w:val="Normal"/>
    <w:link w:val="HeaderChar"/>
    <w:uiPriority w:val="99"/>
    <w:unhideWhenUsed/>
    <w:rsid w:val="008A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09B"/>
  </w:style>
  <w:style w:type="paragraph" w:styleId="Footer">
    <w:name w:val="footer"/>
    <w:basedOn w:val="Normal"/>
    <w:link w:val="FooterChar"/>
    <w:uiPriority w:val="99"/>
    <w:unhideWhenUsed/>
    <w:rsid w:val="008A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04126">
      <w:bodyDiv w:val="1"/>
      <w:marLeft w:val="0"/>
      <w:marRight w:val="0"/>
      <w:marTop w:val="0"/>
      <w:marBottom w:val="0"/>
      <w:divBdr>
        <w:top w:val="none" w:sz="0" w:space="0" w:color="auto"/>
        <w:left w:val="none" w:sz="0" w:space="0" w:color="auto"/>
        <w:bottom w:val="none" w:sz="0" w:space="0" w:color="auto"/>
        <w:right w:val="none" w:sz="0" w:space="0" w:color="auto"/>
      </w:divBdr>
      <w:divsChild>
        <w:div w:id="665287340">
          <w:marLeft w:val="0"/>
          <w:marRight w:val="0"/>
          <w:marTop w:val="0"/>
          <w:marBottom w:val="0"/>
          <w:divBdr>
            <w:top w:val="none" w:sz="0" w:space="0" w:color="auto"/>
            <w:left w:val="none" w:sz="0" w:space="0" w:color="auto"/>
            <w:bottom w:val="none" w:sz="0" w:space="0" w:color="auto"/>
            <w:right w:val="none" w:sz="0" w:space="0" w:color="auto"/>
          </w:divBdr>
        </w:div>
        <w:div w:id="847448608">
          <w:marLeft w:val="0"/>
          <w:marRight w:val="0"/>
          <w:marTop w:val="0"/>
          <w:marBottom w:val="0"/>
          <w:divBdr>
            <w:top w:val="none" w:sz="0" w:space="0" w:color="auto"/>
            <w:left w:val="none" w:sz="0" w:space="0" w:color="auto"/>
            <w:bottom w:val="none" w:sz="0" w:space="0" w:color="auto"/>
            <w:right w:val="none" w:sz="0" w:space="0" w:color="auto"/>
          </w:divBdr>
        </w:div>
        <w:div w:id="1795830631">
          <w:marLeft w:val="0"/>
          <w:marRight w:val="0"/>
          <w:marTop w:val="0"/>
          <w:marBottom w:val="0"/>
          <w:divBdr>
            <w:top w:val="none" w:sz="0" w:space="0" w:color="auto"/>
            <w:left w:val="none" w:sz="0" w:space="0" w:color="auto"/>
            <w:bottom w:val="none" w:sz="0" w:space="0" w:color="auto"/>
            <w:right w:val="none" w:sz="0" w:space="0" w:color="auto"/>
          </w:divBdr>
        </w:div>
      </w:divsChild>
    </w:div>
    <w:div w:id="803161484">
      <w:bodyDiv w:val="1"/>
      <w:marLeft w:val="0"/>
      <w:marRight w:val="0"/>
      <w:marTop w:val="0"/>
      <w:marBottom w:val="0"/>
      <w:divBdr>
        <w:top w:val="none" w:sz="0" w:space="0" w:color="auto"/>
        <w:left w:val="none" w:sz="0" w:space="0" w:color="auto"/>
        <w:bottom w:val="none" w:sz="0" w:space="0" w:color="auto"/>
        <w:right w:val="none" w:sz="0" w:space="0" w:color="auto"/>
      </w:divBdr>
      <w:divsChild>
        <w:div w:id="1299074330">
          <w:marLeft w:val="0"/>
          <w:marRight w:val="0"/>
          <w:marTop w:val="0"/>
          <w:marBottom w:val="0"/>
          <w:divBdr>
            <w:top w:val="none" w:sz="0" w:space="0" w:color="auto"/>
            <w:left w:val="none" w:sz="0" w:space="0" w:color="auto"/>
            <w:bottom w:val="none" w:sz="0" w:space="0" w:color="auto"/>
            <w:right w:val="none" w:sz="0" w:space="0" w:color="auto"/>
          </w:divBdr>
        </w:div>
        <w:div w:id="473585">
          <w:marLeft w:val="0"/>
          <w:marRight w:val="0"/>
          <w:marTop w:val="0"/>
          <w:marBottom w:val="0"/>
          <w:divBdr>
            <w:top w:val="none" w:sz="0" w:space="0" w:color="auto"/>
            <w:left w:val="none" w:sz="0" w:space="0" w:color="auto"/>
            <w:bottom w:val="none" w:sz="0" w:space="0" w:color="auto"/>
            <w:right w:val="none" w:sz="0" w:space="0" w:color="auto"/>
          </w:divBdr>
        </w:div>
        <w:div w:id="1548028403">
          <w:marLeft w:val="0"/>
          <w:marRight w:val="0"/>
          <w:marTop w:val="0"/>
          <w:marBottom w:val="0"/>
          <w:divBdr>
            <w:top w:val="none" w:sz="0" w:space="0" w:color="auto"/>
            <w:left w:val="none" w:sz="0" w:space="0" w:color="auto"/>
            <w:bottom w:val="none" w:sz="0" w:space="0" w:color="auto"/>
            <w:right w:val="none" w:sz="0" w:space="0" w:color="auto"/>
          </w:divBdr>
        </w:div>
      </w:divsChild>
    </w:div>
    <w:div w:id="899485674">
      <w:bodyDiv w:val="1"/>
      <w:marLeft w:val="0"/>
      <w:marRight w:val="0"/>
      <w:marTop w:val="0"/>
      <w:marBottom w:val="0"/>
      <w:divBdr>
        <w:top w:val="none" w:sz="0" w:space="0" w:color="auto"/>
        <w:left w:val="none" w:sz="0" w:space="0" w:color="auto"/>
        <w:bottom w:val="none" w:sz="0" w:space="0" w:color="auto"/>
        <w:right w:val="none" w:sz="0" w:space="0" w:color="auto"/>
      </w:divBdr>
      <w:divsChild>
        <w:div w:id="379210372">
          <w:marLeft w:val="0"/>
          <w:marRight w:val="0"/>
          <w:marTop w:val="0"/>
          <w:marBottom w:val="0"/>
          <w:divBdr>
            <w:top w:val="none" w:sz="0" w:space="0" w:color="auto"/>
            <w:left w:val="none" w:sz="0" w:space="0" w:color="auto"/>
            <w:bottom w:val="none" w:sz="0" w:space="0" w:color="auto"/>
            <w:right w:val="none" w:sz="0" w:space="0" w:color="auto"/>
          </w:divBdr>
        </w:div>
        <w:div w:id="1399862676">
          <w:marLeft w:val="0"/>
          <w:marRight w:val="0"/>
          <w:marTop w:val="0"/>
          <w:marBottom w:val="0"/>
          <w:divBdr>
            <w:top w:val="none" w:sz="0" w:space="0" w:color="auto"/>
            <w:left w:val="none" w:sz="0" w:space="0" w:color="auto"/>
            <w:bottom w:val="none" w:sz="0" w:space="0" w:color="auto"/>
            <w:right w:val="none" w:sz="0" w:space="0" w:color="auto"/>
          </w:divBdr>
        </w:div>
        <w:div w:id="330566615">
          <w:marLeft w:val="0"/>
          <w:marRight w:val="0"/>
          <w:marTop w:val="0"/>
          <w:marBottom w:val="0"/>
          <w:divBdr>
            <w:top w:val="none" w:sz="0" w:space="0" w:color="auto"/>
            <w:left w:val="none" w:sz="0" w:space="0" w:color="auto"/>
            <w:bottom w:val="none" w:sz="0" w:space="0" w:color="auto"/>
            <w:right w:val="none" w:sz="0" w:space="0" w:color="auto"/>
          </w:divBdr>
        </w:div>
      </w:divsChild>
    </w:div>
    <w:div w:id="1361318826">
      <w:bodyDiv w:val="1"/>
      <w:marLeft w:val="0"/>
      <w:marRight w:val="0"/>
      <w:marTop w:val="0"/>
      <w:marBottom w:val="0"/>
      <w:divBdr>
        <w:top w:val="none" w:sz="0" w:space="0" w:color="auto"/>
        <w:left w:val="none" w:sz="0" w:space="0" w:color="auto"/>
        <w:bottom w:val="none" w:sz="0" w:space="0" w:color="auto"/>
        <w:right w:val="none" w:sz="0" w:space="0" w:color="auto"/>
      </w:divBdr>
      <w:divsChild>
        <w:div w:id="100079420">
          <w:marLeft w:val="0"/>
          <w:marRight w:val="0"/>
          <w:marTop w:val="0"/>
          <w:marBottom w:val="0"/>
          <w:divBdr>
            <w:top w:val="none" w:sz="0" w:space="0" w:color="auto"/>
            <w:left w:val="none" w:sz="0" w:space="0" w:color="auto"/>
            <w:bottom w:val="none" w:sz="0" w:space="0" w:color="auto"/>
            <w:right w:val="none" w:sz="0" w:space="0" w:color="auto"/>
          </w:divBdr>
        </w:div>
        <w:div w:id="1423258593">
          <w:marLeft w:val="0"/>
          <w:marRight w:val="0"/>
          <w:marTop w:val="0"/>
          <w:marBottom w:val="0"/>
          <w:divBdr>
            <w:top w:val="none" w:sz="0" w:space="0" w:color="auto"/>
            <w:left w:val="none" w:sz="0" w:space="0" w:color="auto"/>
            <w:bottom w:val="none" w:sz="0" w:space="0" w:color="auto"/>
            <w:right w:val="none" w:sz="0" w:space="0" w:color="auto"/>
          </w:divBdr>
        </w:div>
        <w:div w:id="1442535292">
          <w:marLeft w:val="0"/>
          <w:marRight w:val="0"/>
          <w:marTop w:val="0"/>
          <w:marBottom w:val="0"/>
          <w:divBdr>
            <w:top w:val="none" w:sz="0" w:space="0" w:color="auto"/>
            <w:left w:val="none" w:sz="0" w:space="0" w:color="auto"/>
            <w:bottom w:val="none" w:sz="0" w:space="0" w:color="auto"/>
            <w:right w:val="none" w:sz="0" w:space="0" w:color="auto"/>
          </w:divBdr>
        </w:div>
      </w:divsChild>
    </w:div>
    <w:div w:id="1694570714">
      <w:bodyDiv w:val="1"/>
      <w:marLeft w:val="0"/>
      <w:marRight w:val="0"/>
      <w:marTop w:val="0"/>
      <w:marBottom w:val="0"/>
      <w:divBdr>
        <w:top w:val="none" w:sz="0" w:space="0" w:color="auto"/>
        <w:left w:val="none" w:sz="0" w:space="0" w:color="auto"/>
        <w:bottom w:val="none" w:sz="0" w:space="0" w:color="auto"/>
        <w:right w:val="none" w:sz="0" w:space="0" w:color="auto"/>
      </w:divBdr>
      <w:divsChild>
        <w:div w:id="1630162188">
          <w:marLeft w:val="0"/>
          <w:marRight w:val="0"/>
          <w:marTop w:val="0"/>
          <w:marBottom w:val="0"/>
          <w:divBdr>
            <w:top w:val="none" w:sz="0" w:space="0" w:color="auto"/>
            <w:left w:val="none" w:sz="0" w:space="0" w:color="auto"/>
            <w:bottom w:val="none" w:sz="0" w:space="0" w:color="auto"/>
            <w:right w:val="none" w:sz="0" w:space="0" w:color="auto"/>
          </w:divBdr>
        </w:div>
        <w:div w:id="1388532061">
          <w:marLeft w:val="0"/>
          <w:marRight w:val="0"/>
          <w:marTop w:val="0"/>
          <w:marBottom w:val="0"/>
          <w:divBdr>
            <w:top w:val="none" w:sz="0" w:space="0" w:color="auto"/>
            <w:left w:val="none" w:sz="0" w:space="0" w:color="auto"/>
            <w:bottom w:val="none" w:sz="0" w:space="0" w:color="auto"/>
            <w:right w:val="none" w:sz="0" w:space="0" w:color="auto"/>
          </w:divBdr>
        </w:div>
        <w:div w:id="136340566">
          <w:marLeft w:val="0"/>
          <w:marRight w:val="0"/>
          <w:marTop w:val="0"/>
          <w:marBottom w:val="0"/>
          <w:divBdr>
            <w:top w:val="none" w:sz="0" w:space="0" w:color="auto"/>
            <w:left w:val="none" w:sz="0" w:space="0" w:color="auto"/>
            <w:bottom w:val="none" w:sz="0" w:space="0" w:color="auto"/>
            <w:right w:val="none" w:sz="0" w:space="0" w:color="auto"/>
          </w:divBdr>
        </w:div>
      </w:divsChild>
    </w:div>
    <w:div w:id="1772891756">
      <w:bodyDiv w:val="1"/>
      <w:marLeft w:val="0"/>
      <w:marRight w:val="0"/>
      <w:marTop w:val="0"/>
      <w:marBottom w:val="0"/>
      <w:divBdr>
        <w:top w:val="none" w:sz="0" w:space="0" w:color="auto"/>
        <w:left w:val="none" w:sz="0" w:space="0" w:color="auto"/>
        <w:bottom w:val="none" w:sz="0" w:space="0" w:color="auto"/>
        <w:right w:val="none" w:sz="0" w:space="0" w:color="auto"/>
      </w:divBdr>
      <w:divsChild>
        <w:div w:id="1418136237">
          <w:marLeft w:val="0"/>
          <w:marRight w:val="0"/>
          <w:marTop w:val="0"/>
          <w:marBottom w:val="0"/>
          <w:divBdr>
            <w:top w:val="none" w:sz="0" w:space="0" w:color="auto"/>
            <w:left w:val="none" w:sz="0" w:space="0" w:color="auto"/>
            <w:bottom w:val="none" w:sz="0" w:space="0" w:color="auto"/>
            <w:right w:val="none" w:sz="0" w:space="0" w:color="auto"/>
          </w:divBdr>
        </w:div>
        <w:div w:id="587622135">
          <w:marLeft w:val="0"/>
          <w:marRight w:val="0"/>
          <w:marTop w:val="0"/>
          <w:marBottom w:val="0"/>
          <w:divBdr>
            <w:top w:val="none" w:sz="0" w:space="0" w:color="auto"/>
            <w:left w:val="none" w:sz="0" w:space="0" w:color="auto"/>
            <w:bottom w:val="none" w:sz="0" w:space="0" w:color="auto"/>
            <w:right w:val="none" w:sz="0" w:space="0" w:color="auto"/>
          </w:divBdr>
        </w:div>
        <w:div w:id="1000280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kand\Desktop\Uniofabdn%202.year\2.year\2.%20Term\GG2509%20Environment%20and%20Society\Laki%20assessment\Laki%202021%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kand\Desktop\Uniofabdn%202.year\2.year\2.%20Term\GG2509%20Environment%20and%20Society\Laki%20assessment\Laki%202021%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kand\Desktop\Uniofabdn%202.year\2.year\2.%20Term\GG2509%20Environment%20and%20Society\Laki%20assessment\Laki%202021%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98729371979706"/>
          <c:y val="5.0400916380297825E-2"/>
          <c:w val="0.82241452952457972"/>
          <c:h val="0.72717879337247793"/>
        </c:manualLayout>
      </c:layout>
      <c:barChart>
        <c:barDir val="col"/>
        <c:grouping val="clustered"/>
        <c:varyColors val="0"/>
        <c:ser>
          <c:idx val="0"/>
          <c:order val="0"/>
          <c:spPr>
            <a:solidFill>
              <a:schemeClr val="tx1"/>
            </a:solidFill>
            <a:ln>
              <a:noFill/>
            </a:ln>
            <a:effectLst/>
          </c:spPr>
          <c:invertIfNegative val="0"/>
          <c:trendline>
            <c:spPr>
              <a:ln w="19050" cap="rnd">
                <a:solidFill>
                  <a:schemeClr val="accent1"/>
                </a:solidFill>
                <a:prstDash val="sysDot"/>
              </a:ln>
              <a:effectLst/>
            </c:spPr>
            <c:trendlineType val="linear"/>
            <c:dispRSqr val="0"/>
            <c:dispEq val="0"/>
          </c:trendline>
          <c:trendline>
            <c:spPr>
              <a:ln w="22225" cap="rnd">
                <a:solidFill>
                  <a:schemeClr val="tx1"/>
                </a:solidFill>
                <a:prstDash val="sysDot"/>
              </a:ln>
              <a:effectLst/>
            </c:spPr>
            <c:trendlineType val="linear"/>
            <c:dispRSqr val="0"/>
            <c:dispEq val="0"/>
          </c:trendline>
          <c:cat>
            <c:numRef>
              <c:f>Sheet1!$A$2:$A$101</c:f>
              <c:numCache>
                <c:formatCode>@</c:formatCode>
                <c:ptCount val="100"/>
                <c:pt idx="0">
                  <c:v>1700</c:v>
                </c:pt>
                <c:pt idx="1">
                  <c:v>1701</c:v>
                </c:pt>
                <c:pt idx="2">
                  <c:v>1702</c:v>
                </c:pt>
                <c:pt idx="3">
                  <c:v>1703</c:v>
                </c:pt>
                <c:pt idx="4">
                  <c:v>1704</c:v>
                </c:pt>
                <c:pt idx="5">
                  <c:v>1705</c:v>
                </c:pt>
                <c:pt idx="6">
                  <c:v>1706</c:v>
                </c:pt>
                <c:pt idx="7">
                  <c:v>1707</c:v>
                </c:pt>
                <c:pt idx="8">
                  <c:v>1708</c:v>
                </c:pt>
                <c:pt idx="9">
                  <c:v>1709</c:v>
                </c:pt>
                <c:pt idx="10">
                  <c:v>1710</c:v>
                </c:pt>
                <c:pt idx="11">
                  <c:v>1711</c:v>
                </c:pt>
                <c:pt idx="12">
                  <c:v>1712</c:v>
                </c:pt>
                <c:pt idx="13">
                  <c:v>1713</c:v>
                </c:pt>
                <c:pt idx="14">
                  <c:v>1714</c:v>
                </c:pt>
                <c:pt idx="15">
                  <c:v>1715</c:v>
                </c:pt>
                <c:pt idx="16">
                  <c:v>1716</c:v>
                </c:pt>
                <c:pt idx="17">
                  <c:v>1717</c:v>
                </c:pt>
                <c:pt idx="18">
                  <c:v>1718</c:v>
                </c:pt>
                <c:pt idx="19">
                  <c:v>1719</c:v>
                </c:pt>
                <c:pt idx="20">
                  <c:v>1720</c:v>
                </c:pt>
                <c:pt idx="21">
                  <c:v>1721</c:v>
                </c:pt>
                <c:pt idx="22">
                  <c:v>1722</c:v>
                </c:pt>
                <c:pt idx="23">
                  <c:v>1723</c:v>
                </c:pt>
                <c:pt idx="24">
                  <c:v>1724</c:v>
                </c:pt>
                <c:pt idx="25">
                  <c:v>1725</c:v>
                </c:pt>
                <c:pt idx="26">
                  <c:v>1726</c:v>
                </c:pt>
                <c:pt idx="27">
                  <c:v>1727</c:v>
                </c:pt>
                <c:pt idx="28">
                  <c:v>1728</c:v>
                </c:pt>
                <c:pt idx="29">
                  <c:v>1729</c:v>
                </c:pt>
                <c:pt idx="30">
                  <c:v>1730</c:v>
                </c:pt>
                <c:pt idx="31">
                  <c:v>1731</c:v>
                </c:pt>
                <c:pt idx="32">
                  <c:v>1732</c:v>
                </c:pt>
                <c:pt idx="33">
                  <c:v>1733</c:v>
                </c:pt>
                <c:pt idx="34">
                  <c:v>1734</c:v>
                </c:pt>
                <c:pt idx="35">
                  <c:v>1735</c:v>
                </c:pt>
                <c:pt idx="36">
                  <c:v>1736</c:v>
                </c:pt>
                <c:pt idx="37">
                  <c:v>1737</c:v>
                </c:pt>
                <c:pt idx="38">
                  <c:v>1738</c:v>
                </c:pt>
                <c:pt idx="39">
                  <c:v>1739</c:v>
                </c:pt>
                <c:pt idx="40">
                  <c:v>1740</c:v>
                </c:pt>
                <c:pt idx="41">
                  <c:v>1741</c:v>
                </c:pt>
                <c:pt idx="42">
                  <c:v>1742</c:v>
                </c:pt>
                <c:pt idx="43">
                  <c:v>1743</c:v>
                </c:pt>
                <c:pt idx="44">
                  <c:v>1744</c:v>
                </c:pt>
                <c:pt idx="45">
                  <c:v>1745</c:v>
                </c:pt>
                <c:pt idx="46">
                  <c:v>1746</c:v>
                </c:pt>
                <c:pt idx="47">
                  <c:v>1747</c:v>
                </c:pt>
                <c:pt idx="48">
                  <c:v>1748</c:v>
                </c:pt>
                <c:pt idx="49">
                  <c:v>1749</c:v>
                </c:pt>
                <c:pt idx="50">
                  <c:v>1750</c:v>
                </c:pt>
                <c:pt idx="51">
                  <c:v>1751</c:v>
                </c:pt>
                <c:pt idx="52">
                  <c:v>1752</c:v>
                </c:pt>
                <c:pt idx="53">
                  <c:v>1753</c:v>
                </c:pt>
                <c:pt idx="54">
                  <c:v>1754</c:v>
                </c:pt>
                <c:pt idx="55">
                  <c:v>1755</c:v>
                </c:pt>
                <c:pt idx="56">
                  <c:v>1756</c:v>
                </c:pt>
                <c:pt idx="57">
                  <c:v>1757</c:v>
                </c:pt>
                <c:pt idx="58">
                  <c:v>1758</c:v>
                </c:pt>
                <c:pt idx="59">
                  <c:v>1759</c:v>
                </c:pt>
                <c:pt idx="60">
                  <c:v>1760</c:v>
                </c:pt>
                <c:pt idx="61">
                  <c:v>1761</c:v>
                </c:pt>
                <c:pt idx="62">
                  <c:v>1762</c:v>
                </c:pt>
                <c:pt idx="63">
                  <c:v>1763</c:v>
                </c:pt>
                <c:pt idx="64">
                  <c:v>1764</c:v>
                </c:pt>
                <c:pt idx="65">
                  <c:v>1765</c:v>
                </c:pt>
                <c:pt idx="66">
                  <c:v>1766</c:v>
                </c:pt>
                <c:pt idx="67">
                  <c:v>1767</c:v>
                </c:pt>
                <c:pt idx="68">
                  <c:v>1768</c:v>
                </c:pt>
                <c:pt idx="69">
                  <c:v>1769</c:v>
                </c:pt>
                <c:pt idx="70">
                  <c:v>1770</c:v>
                </c:pt>
                <c:pt idx="71">
                  <c:v>1771</c:v>
                </c:pt>
                <c:pt idx="72">
                  <c:v>1772</c:v>
                </c:pt>
                <c:pt idx="73">
                  <c:v>1773</c:v>
                </c:pt>
                <c:pt idx="74">
                  <c:v>1774</c:v>
                </c:pt>
                <c:pt idx="75">
                  <c:v>1775</c:v>
                </c:pt>
                <c:pt idx="76">
                  <c:v>1776</c:v>
                </c:pt>
                <c:pt idx="77">
                  <c:v>1777</c:v>
                </c:pt>
                <c:pt idx="78">
                  <c:v>1778</c:v>
                </c:pt>
                <c:pt idx="79">
                  <c:v>1779</c:v>
                </c:pt>
                <c:pt idx="80">
                  <c:v>1780</c:v>
                </c:pt>
                <c:pt idx="81">
                  <c:v>1781</c:v>
                </c:pt>
                <c:pt idx="82">
                  <c:v>1782</c:v>
                </c:pt>
                <c:pt idx="83">
                  <c:v>1783</c:v>
                </c:pt>
                <c:pt idx="84">
                  <c:v>1784</c:v>
                </c:pt>
                <c:pt idx="85">
                  <c:v>1785</c:v>
                </c:pt>
                <c:pt idx="86">
                  <c:v>1786</c:v>
                </c:pt>
                <c:pt idx="87">
                  <c:v>1787</c:v>
                </c:pt>
                <c:pt idx="88">
                  <c:v>1788</c:v>
                </c:pt>
                <c:pt idx="89">
                  <c:v>1789</c:v>
                </c:pt>
                <c:pt idx="90">
                  <c:v>1790</c:v>
                </c:pt>
                <c:pt idx="91">
                  <c:v>1791</c:v>
                </c:pt>
                <c:pt idx="92">
                  <c:v>1792</c:v>
                </c:pt>
                <c:pt idx="93">
                  <c:v>1793</c:v>
                </c:pt>
                <c:pt idx="94">
                  <c:v>1794</c:v>
                </c:pt>
                <c:pt idx="95">
                  <c:v>1795</c:v>
                </c:pt>
                <c:pt idx="96">
                  <c:v>1796</c:v>
                </c:pt>
                <c:pt idx="97">
                  <c:v>1797</c:v>
                </c:pt>
                <c:pt idx="98">
                  <c:v>1798</c:v>
                </c:pt>
                <c:pt idx="99">
                  <c:v>1799</c:v>
                </c:pt>
              </c:numCache>
            </c:numRef>
          </c:cat>
          <c:val>
            <c:numRef>
              <c:f>Sheet1!$B$2:$B$101</c:f>
              <c:numCache>
                <c:formatCode>0</c:formatCode>
                <c:ptCount val="100"/>
                <c:pt idx="0">
                  <c:v>29628</c:v>
                </c:pt>
                <c:pt idx="1">
                  <c:v>32301</c:v>
                </c:pt>
                <c:pt idx="2">
                  <c:v>27298</c:v>
                </c:pt>
                <c:pt idx="3">
                  <c:v>27033</c:v>
                </c:pt>
                <c:pt idx="4">
                  <c:v>29100</c:v>
                </c:pt>
                <c:pt idx="5">
                  <c:v>35567</c:v>
                </c:pt>
                <c:pt idx="6">
                  <c:v>31771</c:v>
                </c:pt>
                <c:pt idx="7">
                  <c:v>28460</c:v>
                </c:pt>
                <c:pt idx="8">
                  <c:v>30947</c:v>
                </c:pt>
                <c:pt idx="9">
                  <c:v>29142</c:v>
                </c:pt>
                <c:pt idx="10">
                  <c:v>31971</c:v>
                </c:pt>
                <c:pt idx="11">
                  <c:v>33428</c:v>
                </c:pt>
                <c:pt idx="12">
                  <c:v>34962</c:v>
                </c:pt>
                <c:pt idx="13">
                  <c:v>29312</c:v>
                </c:pt>
                <c:pt idx="14">
                  <c:v>33562</c:v>
                </c:pt>
                <c:pt idx="15">
                  <c:v>27509</c:v>
                </c:pt>
                <c:pt idx="16">
                  <c:v>29419</c:v>
                </c:pt>
                <c:pt idx="17">
                  <c:v>29581</c:v>
                </c:pt>
                <c:pt idx="18">
                  <c:v>30090</c:v>
                </c:pt>
                <c:pt idx="19">
                  <c:v>46374</c:v>
                </c:pt>
                <c:pt idx="20">
                  <c:v>40468</c:v>
                </c:pt>
                <c:pt idx="21">
                  <c:v>38247</c:v>
                </c:pt>
                <c:pt idx="22">
                  <c:v>33881</c:v>
                </c:pt>
                <c:pt idx="23">
                  <c:v>39160</c:v>
                </c:pt>
                <c:pt idx="24">
                  <c:v>35584</c:v>
                </c:pt>
                <c:pt idx="25">
                  <c:v>29574</c:v>
                </c:pt>
                <c:pt idx="26">
                  <c:v>35241</c:v>
                </c:pt>
                <c:pt idx="27">
                  <c:v>53019</c:v>
                </c:pt>
                <c:pt idx="28">
                  <c:v>55678</c:v>
                </c:pt>
                <c:pt idx="29">
                  <c:v>47471</c:v>
                </c:pt>
                <c:pt idx="30">
                  <c:v>35645</c:v>
                </c:pt>
                <c:pt idx="31">
                  <c:v>37293</c:v>
                </c:pt>
                <c:pt idx="32">
                  <c:v>32949</c:v>
                </c:pt>
                <c:pt idx="33">
                  <c:v>33098</c:v>
                </c:pt>
                <c:pt idx="34">
                  <c:v>30744</c:v>
                </c:pt>
                <c:pt idx="35">
                  <c:v>31133</c:v>
                </c:pt>
                <c:pt idx="36">
                  <c:v>34032</c:v>
                </c:pt>
                <c:pt idx="37">
                  <c:v>35366</c:v>
                </c:pt>
                <c:pt idx="38">
                  <c:v>33866</c:v>
                </c:pt>
                <c:pt idx="39">
                  <c:v>32516</c:v>
                </c:pt>
                <c:pt idx="40">
                  <c:v>34867</c:v>
                </c:pt>
                <c:pt idx="41">
                  <c:v>44900</c:v>
                </c:pt>
                <c:pt idx="42">
                  <c:v>40573</c:v>
                </c:pt>
                <c:pt idx="43">
                  <c:v>30991</c:v>
                </c:pt>
                <c:pt idx="44">
                  <c:v>27858</c:v>
                </c:pt>
                <c:pt idx="45">
                  <c:v>28341</c:v>
                </c:pt>
                <c:pt idx="46">
                  <c:v>34651</c:v>
                </c:pt>
                <c:pt idx="47">
                  <c:v>38451</c:v>
                </c:pt>
                <c:pt idx="48">
                  <c:v>31445</c:v>
                </c:pt>
                <c:pt idx="49">
                  <c:v>33142</c:v>
                </c:pt>
                <c:pt idx="50">
                  <c:v>33349</c:v>
                </c:pt>
                <c:pt idx="51">
                  <c:v>31554</c:v>
                </c:pt>
                <c:pt idx="52">
                  <c:v>27303</c:v>
                </c:pt>
                <c:pt idx="53">
                  <c:v>29894</c:v>
                </c:pt>
                <c:pt idx="54">
                  <c:v>30490</c:v>
                </c:pt>
                <c:pt idx="55">
                  <c:v>30456</c:v>
                </c:pt>
                <c:pt idx="56">
                  <c:v>32705</c:v>
                </c:pt>
                <c:pt idx="57">
                  <c:v>35128</c:v>
                </c:pt>
                <c:pt idx="58">
                  <c:v>33873</c:v>
                </c:pt>
                <c:pt idx="59">
                  <c:v>38217</c:v>
                </c:pt>
                <c:pt idx="60">
                  <c:v>33262</c:v>
                </c:pt>
                <c:pt idx="61">
                  <c:v>36880</c:v>
                </c:pt>
                <c:pt idx="62">
                  <c:v>44018</c:v>
                </c:pt>
                <c:pt idx="63">
                  <c:v>38594</c:v>
                </c:pt>
                <c:pt idx="64">
                  <c:v>38795</c:v>
                </c:pt>
                <c:pt idx="65">
                  <c:v>37531</c:v>
                </c:pt>
                <c:pt idx="66">
                  <c:v>43415</c:v>
                </c:pt>
                <c:pt idx="67">
                  <c:v>39087</c:v>
                </c:pt>
                <c:pt idx="68">
                  <c:v>36593</c:v>
                </c:pt>
                <c:pt idx="69">
                  <c:v>39257</c:v>
                </c:pt>
                <c:pt idx="70">
                  <c:v>42105</c:v>
                </c:pt>
                <c:pt idx="71">
                  <c:v>38536</c:v>
                </c:pt>
                <c:pt idx="72">
                  <c:v>38331</c:v>
                </c:pt>
                <c:pt idx="73">
                  <c:v>54907</c:v>
                </c:pt>
                <c:pt idx="74">
                  <c:v>35037</c:v>
                </c:pt>
                <c:pt idx="75">
                  <c:v>37156</c:v>
                </c:pt>
                <c:pt idx="76">
                  <c:v>36081</c:v>
                </c:pt>
                <c:pt idx="77">
                  <c:v>38570</c:v>
                </c:pt>
                <c:pt idx="78">
                  <c:v>39091</c:v>
                </c:pt>
                <c:pt idx="79">
                  <c:v>42920</c:v>
                </c:pt>
                <c:pt idx="80">
                  <c:v>42147</c:v>
                </c:pt>
                <c:pt idx="81">
                  <c:v>48788</c:v>
                </c:pt>
                <c:pt idx="82">
                  <c:v>41641</c:v>
                </c:pt>
                <c:pt idx="83">
                  <c:v>56089</c:v>
                </c:pt>
                <c:pt idx="84">
                  <c:v>41737</c:v>
                </c:pt>
                <c:pt idx="85">
                  <c:v>43854</c:v>
                </c:pt>
                <c:pt idx="86">
                  <c:v>41959</c:v>
                </c:pt>
                <c:pt idx="87">
                  <c:v>41444</c:v>
                </c:pt>
                <c:pt idx="88">
                  <c:v>44428</c:v>
                </c:pt>
                <c:pt idx="89">
                  <c:v>38590</c:v>
                </c:pt>
                <c:pt idx="90">
                  <c:v>43555</c:v>
                </c:pt>
                <c:pt idx="91">
                  <c:v>42818</c:v>
                </c:pt>
                <c:pt idx="92">
                  <c:v>46523</c:v>
                </c:pt>
                <c:pt idx="93">
                  <c:v>49639</c:v>
                </c:pt>
                <c:pt idx="94">
                  <c:v>50213</c:v>
                </c:pt>
                <c:pt idx="95">
                  <c:v>51612</c:v>
                </c:pt>
                <c:pt idx="96">
                  <c:v>46992</c:v>
                </c:pt>
                <c:pt idx="97">
                  <c:v>48310</c:v>
                </c:pt>
                <c:pt idx="98">
                  <c:v>46874</c:v>
                </c:pt>
                <c:pt idx="99">
                  <c:v>42507</c:v>
                </c:pt>
              </c:numCache>
            </c:numRef>
          </c:val>
          <c:extLst>
            <c:ext xmlns:c16="http://schemas.microsoft.com/office/drawing/2014/chart" uri="{C3380CC4-5D6E-409C-BE32-E72D297353CC}">
              <c16:uniqueId val="{00000002-B8FD-462E-AF6B-678B0CADFB8F}"/>
            </c:ext>
          </c:extLst>
        </c:ser>
        <c:dLbls>
          <c:showLegendKey val="0"/>
          <c:showVal val="0"/>
          <c:showCatName val="0"/>
          <c:showSerName val="0"/>
          <c:showPercent val="0"/>
          <c:showBubbleSize val="0"/>
        </c:dLbls>
        <c:gapWidth val="219"/>
        <c:overlap val="-27"/>
        <c:axId val="153933616"/>
        <c:axId val="153927376"/>
      </c:barChart>
      <c:catAx>
        <c:axId val="15393361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GB" sz="1400"/>
                  <a:t>Year</a:t>
                </a:r>
              </a:p>
            </c:rich>
          </c:tx>
          <c:layout>
            <c:manualLayout>
              <c:xMode val="edge"/>
              <c:yMode val="edge"/>
              <c:x val="0.4526486076405869"/>
              <c:y val="0.9053159805801477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927376"/>
        <c:crosses val="autoZero"/>
        <c:auto val="1"/>
        <c:lblAlgn val="ctr"/>
        <c:lblOffset val="100"/>
        <c:tickLblSkip val="5"/>
        <c:noMultiLvlLbl val="0"/>
      </c:catAx>
      <c:valAx>
        <c:axId val="153927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a:t>Number of summer burials </a:t>
                </a:r>
              </a:p>
            </c:rich>
          </c:tx>
          <c:layout>
            <c:manualLayout>
              <c:xMode val="edge"/>
              <c:yMode val="edge"/>
              <c:x val="7.8124021267642341E-3"/>
              <c:y val="4.724511443841540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933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608514600910941E-2"/>
          <c:y val="4.982157046882902E-2"/>
          <c:w val="0.8585579615048119"/>
          <c:h val="0.80808690580344122"/>
        </c:manualLayout>
      </c:layout>
      <c:barChart>
        <c:barDir val="col"/>
        <c:grouping val="clustered"/>
        <c:varyColors val="0"/>
        <c:ser>
          <c:idx val="0"/>
          <c:order val="0"/>
          <c:spPr>
            <a:solidFill>
              <a:schemeClr val="tx1"/>
            </a:solidFill>
            <a:ln>
              <a:noFill/>
            </a:ln>
            <a:effectLst/>
          </c:spPr>
          <c:invertIfNegative val="0"/>
          <c:dLbls>
            <c:delete val="1"/>
          </c:dLbls>
          <c:cat>
            <c:numRef>
              <c:f>Sheet1!$A$9:$A$94</c:f>
              <c:numCache>
                <c:formatCode>@</c:formatCode>
                <c:ptCount val="86"/>
                <c:pt idx="0">
                  <c:v>1707</c:v>
                </c:pt>
                <c:pt idx="1">
                  <c:v>1708</c:v>
                </c:pt>
                <c:pt idx="2">
                  <c:v>1709</c:v>
                </c:pt>
                <c:pt idx="3">
                  <c:v>1710</c:v>
                </c:pt>
                <c:pt idx="4">
                  <c:v>1711</c:v>
                </c:pt>
                <c:pt idx="5">
                  <c:v>1712</c:v>
                </c:pt>
                <c:pt idx="6">
                  <c:v>1713</c:v>
                </c:pt>
                <c:pt idx="7">
                  <c:v>1714</c:v>
                </c:pt>
                <c:pt idx="8">
                  <c:v>1715</c:v>
                </c:pt>
                <c:pt idx="9">
                  <c:v>1716</c:v>
                </c:pt>
                <c:pt idx="10">
                  <c:v>1717</c:v>
                </c:pt>
                <c:pt idx="11">
                  <c:v>1718</c:v>
                </c:pt>
                <c:pt idx="12">
                  <c:v>1719</c:v>
                </c:pt>
                <c:pt idx="13">
                  <c:v>1720</c:v>
                </c:pt>
                <c:pt idx="14">
                  <c:v>1721</c:v>
                </c:pt>
                <c:pt idx="15">
                  <c:v>1722</c:v>
                </c:pt>
                <c:pt idx="16">
                  <c:v>1723</c:v>
                </c:pt>
                <c:pt idx="17">
                  <c:v>1724</c:v>
                </c:pt>
                <c:pt idx="18">
                  <c:v>1725</c:v>
                </c:pt>
                <c:pt idx="19">
                  <c:v>1726</c:v>
                </c:pt>
                <c:pt idx="20">
                  <c:v>1727</c:v>
                </c:pt>
                <c:pt idx="21">
                  <c:v>1728</c:v>
                </c:pt>
                <c:pt idx="22">
                  <c:v>1729</c:v>
                </c:pt>
                <c:pt idx="23">
                  <c:v>1730</c:v>
                </c:pt>
                <c:pt idx="24">
                  <c:v>1731</c:v>
                </c:pt>
                <c:pt idx="25">
                  <c:v>1732</c:v>
                </c:pt>
                <c:pt idx="26">
                  <c:v>1733</c:v>
                </c:pt>
                <c:pt idx="27">
                  <c:v>1734</c:v>
                </c:pt>
                <c:pt idx="28">
                  <c:v>1735</c:v>
                </c:pt>
                <c:pt idx="29">
                  <c:v>1736</c:v>
                </c:pt>
                <c:pt idx="30">
                  <c:v>1737</c:v>
                </c:pt>
                <c:pt idx="31">
                  <c:v>1738</c:v>
                </c:pt>
                <c:pt idx="32">
                  <c:v>1739</c:v>
                </c:pt>
                <c:pt idx="33">
                  <c:v>1740</c:v>
                </c:pt>
                <c:pt idx="34">
                  <c:v>1741</c:v>
                </c:pt>
                <c:pt idx="35">
                  <c:v>1742</c:v>
                </c:pt>
                <c:pt idx="36">
                  <c:v>1743</c:v>
                </c:pt>
                <c:pt idx="37">
                  <c:v>1744</c:v>
                </c:pt>
                <c:pt idx="38">
                  <c:v>1745</c:v>
                </c:pt>
                <c:pt idx="39">
                  <c:v>1746</c:v>
                </c:pt>
                <c:pt idx="40">
                  <c:v>1747</c:v>
                </c:pt>
                <c:pt idx="41">
                  <c:v>1748</c:v>
                </c:pt>
                <c:pt idx="42">
                  <c:v>1749</c:v>
                </c:pt>
                <c:pt idx="43">
                  <c:v>1750</c:v>
                </c:pt>
                <c:pt idx="44">
                  <c:v>1751</c:v>
                </c:pt>
                <c:pt idx="45">
                  <c:v>1752</c:v>
                </c:pt>
                <c:pt idx="46">
                  <c:v>1753</c:v>
                </c:pt>
                <c:pt idx="47">
                  <c:v>1754</c:v>
                </c:pt>
                <c:pt idx="48">
                  <c:v>1755</c:v>
                </c:pt>
                <c:pt idx="49">
                  <c:v>1756</c:v>
                </c:pt>
                <c:pt idx="50">
                  <c:v>1757</c:v>
                </c:pt>
                <c:pt idx="51">
                  <c:v>1758</c:v>
                </c:pt>
                <c:pt idx="52">
                  <c:v>1759</c:v>
                </c:pt>
                <c:pt idx="53">
                  <c:v>1760</c:v>
                </c:pt>
                <c:pt idx="54">
                  <c:v>1761</c:v>
                </c:pt>
                <c:pt idx="55">
                  <c:v>1762</c:v>
                </c:pt>
                <c:pt idx="56">
                  <c:v>1763</c:v>
                </c:pt>
                <c:pt idx="57">
                  <c:v>1764</c:v>
                </c:pt>
                <c:pt idx="58">
                  <c:v>1765</c:v>
                </c:pt>
                <c:pt idx="59">
                  <c:v>1766</c:v>
                </c:pt>
                <c:pt idx="60">
                  <c:v>1767</c:v>
                </c:pt>
                <c:pt idx="61">
                  <c:v>1768</c:v>
                </c:pt>
                <c:pt idx="62">
                  <c:v>1769</c:v>
                </c:pt>
                <c:pt idx="63">
                  <c:v>1770</c:v>
                </c:pt>
                <c:pt idx="64">
                  <c:v>1771</c:v>
                </c:pt>
                <c:pt idx="65">
                  <c:v>1772</c:v>
                </c:pt>
                <c:pt idx="66">
                  <c:v>1773</c:v>
                </c:pt>
                <c:pt idx="67">
                  <c:v>1774</c:v>
                </c:pt>
                <c:pt idx="68">
                  <c:v>1775</c:v>
                </c:pt>
                <c:pt idx="69">
                  <c:v>1776</c:v>
                </c:pt>
                <c:pt idx="70">
                  <c:v>1777</c:v>
                </c:pt>
                <c:pt idx="71">
                  <c:v>1778</c:v>
                </c:pt>
                <c:pt idx="72">
                  <c:v>1779</c:v>
                </c:pt>
                <c:pt idx="73">
                  <c:v>1780</c:v>
                </c:pt>
                <c:pt idx="74">
                  <c:v>1781</c:v>
                </c:pt>
                <c:pt idx="75">
                  <c:v>1782</c:v>
                </c:pt>
                <c:pt idx="76">
                  <c:v>1783</c:v>
                </c:pt>
                <c:pt idx="77">
                  <c:v>1784</c:v>
                </c:pt>
                <c:pt idx="78">
                  <c:v>1785</c:v>
                </c:pt>
                <c:pt idx="79">
                  <c:v>1786</c:v>
                </c:pt>
                <c:pt idx="80">
                  <c:v>1787</c:v>
                </c:pt>
                <c:pt idx="81">
                  <c:v>1788</c:v>
                </c:pt>
                <c:pt idx="82">
                  <c:v>1789</c:v>
                </c:pt>
                <c:pt idx="83">
                  <c:v>1790</c:v>
                </c:pt>
                <c:pt idx="84">
                  <c:v>1791</c:v>
                </c:pt>
                <c:pt idx="85">
                  <c:v>1792</c:v>
                </c:pt>
              </c:numCache>
            </c:numRef>
          </c:cat>
          <c:val>
            <c:numRef>
              <c:f>Sheet1!$D$9:$D$94</c:f>
              <c:numCache>
                <c:formatCode>0.00</c:formatCode>
                <c:ptCount val="86"/>
                <c:pt idx="0">
                  <c:v>91.908836079761969</c:v>
                </c:pt>
                <c:pt idx="1">
                  <c:v>100.39838827933896</c:v>
                </c:pt>
                <c:pt idx="2">
                  <c:v>95.135598642816575</c:v>
                </c:pt>
                <c:pt idx="3">
                  <c:v>103.85499952356616</c:v>
                </c:pt>
                <c:pt idx="4">
                  <c:v>107.8737836715639</c:v>
                </c:pt>
                <c:pt idx="5">
                  <c:v>108.7814642342277</c:v>
                </c:pt>
                <c:pt idx="6">
                  <c:v>90.284109109725748</c:v>
                </c:pt>
                <c:pt idx="7">
                  <c:v>102.017946306984</c:v>
                </c:pt>
                <c:pt idx="8">
                  <c:v>82.710120206136381</c:v>
                </c:pt>
                <c:pt idx="9">
                  <c:v>87.020267951868064</c:v>
                </c:pt>
                <c:pt idx="10">
                  <c:v>86.401855328031658</c:v>
                </c:pt>
                <c:pt idx="11">
                  <c:v>88.300717400533316</c:v>
                </c:pt>
                <c:pt idx="12">
                  <c:v>135.60600743911854</c:v>
                </c:pt>
                <c:pt idx="13">
                  <c:v>114.31186337263497</c:v>
                </c:pt>
                <c:pt idx="14">
                  <c:v>102.92758891039799</c:v>
                </c:pt>
                <c:pt idx="15">
                  <c:v>88.95826331708956</c:v>
                </c:pt>
                <c:pt idx="16">
                  <c:v>101.37513979207222</c:v>
                </c:pt>
                <c:pt idx="17">
                  <c:v>90.882776610489259</c:v>
                </c:pt>
                <c:pt idx="18">
                  <c:v>75.10234071586018</c:v>
                </c:pt>
                <c:pt idx="19">
                  <c:v>89.040092170555951</c:v>
                </c:pt>
                <c:pt idx="20">
                  <c:v>137.58018309771438</c:v>
                </c:pt>
                <c:pt idx="21">
                  <c:v>146.85159754324206</c:v>
                </c:pt>
                <c:pt idx="22">
                  <c:v>126.14038568508172</c:v>
                </c:pt>
                <c:pt idx="23">
                  <c:v>94.46771745640801</c:v>
                </c:pt>
                <c:pt idx="24">
                  <c:v>99.768500766016345</c:v>
                </c:pt>
                <c:pt idx="25">
                  <c:v>88.632145258910555</c:v>
                </c:pt>
                <c:pt idx="26">
                  <c:v>88.195794058814954</c:v>
                </c:pt>
                <c:pt idx="27">
                  <c:v>80.541132459040426</c:v>
                </c:pt>
                <c:pt idx="28">
                  <c:v>83.372461084996189</c:v>
                </c:pt>
                <c:pt idx="29">
                  <c:v>95.337701048102133</c:v>
                </c:pt>
                <c:pt idx="30">
                  <c:v>102.84182222472089</c:v>
                </c:pt>
                <c:pt idx="31">
                  <c:v>99.894400887268503</c:v>
                </c:pt>
                <c:pt idx="32">
                  <c:v>96.413216442472105</c:v>
                </c:pt>
                <c:pt idx="33">
                  <c:v>102.27186064565583</c:v>
                </c:pt>
                <c:pt idx="34">
                  <c:v>132.12773721195759</c:v>
                </c:pt>
                <c:pt idx="35">
                  <c:v>118.83557364117064</c:v>
                </c:pt>
                <c:pt idx="36">
                  <c:v>90.379470708547515</c:v>
                </c:pt>
                <c:pt idx="37">
                  <c:v>81.63596225604158</c:v>
                </c:pt>
                <c:pt idx="38">
                  <c:v>84.380526669935122</c:v>
                </c:pt>
                <c:pt idx="39">
                  <c:v>103.98731581421869</c:v>
                </c:pt>
                <c:pt idx="40">
                  <c:v>115.8607015943866</c:v>
                </c:pt>
                <c:pt idx="41">
                  <c:v>95.597266304281746</c:v>
                </c:pt>
                <c:pt idx="42">
                  <c:v>103.3098297392161</c:v>
                </c:pt>
                <c:pt idx="43">
                  <c:v>105.14484254600028</c:v>
                </c:pt>
                <c:pt idx="44">
                  <c:v>98.886428213270932</c:v>
                </c:pt>
                <c:pt idx="45">
                  <c:v>83.751705013711685</c:v>
                </c:pt>
                <c:pt idx="46">
                  <c:v>90.785957240038869</c:v>
                </c:pt>
                <c:pt idx="47">
                  <c:v>92.179970129940813</c:v>
                </c:pt>
                <c:pt idx="48">
                  <c:v>91.055497532468578</c:v>
                </c:pt>
                <c:pt idx="49">
                  <c:v>96.40572646969234</c:v>
                </c:pt>
                <c:pt idx="50">
                  <c:v>102.41041129756394</c:v>
                </c:pt>
                <c:pt idx="51">
                  <c:v>97.955465587044529</c:v>
                </c:pt>
                <c:pt idx="52">
                  <c:v>108.04695407314146</c:v>
                </c:pt>
                <c:pt idx="53">
                  <c:v>91.994947865288694</c:v>
                </c:pt>
                <c:pt idx="54">
                  <c:v>100.75695208398598</c:v>
                </c:pt>
                <c:pt idx="55">
                  <c:v>118.36804939307399</c:v>
                </c:pt>
                <c:pt idx="56">
                  <c:v>101.65946686334422</c:v>
                </c:pt>
                <c:pt idx="57">
                  <c:v>101.15315553346048</c:v>
                </c:pt>
                <c:pt idx="58">
                  <c:v>97.315616065162288</c:v>
                </c:pt>
                <c:pt idx="59">
                  <c:v>108.62295005404252</c:v>
                </c:pt>
                <c:pt idx="60">
                  <c:v>98.315916209998193</c:v>
                </c:pt>
                <c:pt idx="61">
                  <c:v>91.445616934503093</c:v>
                </c:pt>
                <c:pt idx="62">
                  <c:v>98.233693612236678</c:v>
                </c:pt>
                <c:pt idx="63">
                  <c:v>106.3266525812507</c:v>
                </c:pt>
                <c:pt idx="64">
                  <c:v>97.232595224157762</c:v>
                </c:pt>
                <c:pt idx="65">
                  <c:v>96.048892697668123</c:v>
                </c:pt>
                <c:pt idx="66">
                  <c:v>136.53182103764217</c:v>
                </c:pt>
                <c:pt idx="67">
                  <c:v>86.353897266868884</c:v>
                </c:pt>
                <c:pt idx="68">
                  <c:v>91.193795405458474</c:v>
                </c:pt>
                <c:pt idx="69">
                  <c:v>85.817783387456885</c:v>
                </c:pt>
                <c:pt idx="70">
                  <c:v>91.378471607995763</c:v>
                </c:pt>
                <c:pt idx="71">
                  <c:v>92.357671074289044</c:v>
                </c:pt>
                <c:pt idx="72">
                  <c:v>100.86039968165838</c:v>
                </c:pt>
                <c:pt idx="73">
                  <c:v>98.563190166832698</c:v>
                </c:pt>
                <c:pt idx="74">
                  <c:v>115.9884743764086</c:v>
                </c:pt>
                <c:pt idx="75">
                  <c:v>98.442856129677935</c:v>
                </c:pt>
                <c:pt idx="76">
                  <c:v>131.27521867890789</c:v>
                </c:pt>
                <c:pt idx="77">
                  <c:v>96.668473250971616</c:v>
                </c:pt>
                <c:pt idx="78">
                  <c:v>100.33954458925172</c:v>
                </c:pt>
                <c:pt idx="79">
                  <c:v>94.483525787681714</c:v>
                </c:pt>
                <c:pt idx="80">
                  <c:v>92.313175186546374</c:v>
                </c:pt>
                <c:pt idx="81">
                  <c:v>97.588191363177089</c:v>
                </c:pt>
                <c:pt idx="82">
                  <c:v>84.988268873312634</c:v>
                </c:pt>
                <c:pt idx="83">
                  <c:v>94.99275186365071</c:v>
                </c:pt>
                <c:pt idx="84">
                  <c:v>94.653583828999572</c:v>
                </c:pt>
                <c:pt idx="85">
                  <c:v>102.72729413912187</c:v>
                </c:pt>
              </c:numCache>
            </c:numRef>
          </c:val>
          <c:extLst>
            <c:ext xmlns:c16="http://schemas.microsoft.com/office/drawing/2014/chart" uri="{C3380CC4-5D6E-409C-BE32-E72D297353CC}">
              <c16:uniqueId val="{00000000-E08C-4492-8F8E-D981AF57B564}"/>
            </c:ext>
          </c:extLst>
        </c:ser>
        <c:dLbls>
          <c:showLegendKey val="0"/>
          <c:showVal val="1"/>
          <c:showCatName val="0"/>
          <c:showSerName val="0"/>
          <c:showPercent val="0"/>
          <c:showBubbleSize val="0"/>
        </c:dLbls>
        <c:gapWidth val="219"/>
        <c:overlap val="-27"/>
        <c:axId val="153925296"/>
        <c:axId val="153933200"/>
      </c:barChart>
      <c:scatterChart>
        <c:scatterStyle val="lineMarker"/>
        <c:varyColors val="0"/>
        <c:ser>
          <c:idx val="1"/>
          <c:order val="1"/>
          <c:tx>
            <c:strRef>
              <c:f>Sheet1!$F$1</c:f>
              <c:strCache>
                <c:ptCount val="1"/>
                <c:pt idx="0">
                  <c:v>Target</c:v>
                </c:pt>
              </c:strCache>
            </c:strRef>
          </c:tx>
          <c:spPr>
            <a:ln w="25400" cap="rnd">
              <a:noFill/>
              <a:round/>
            </a:ln>
            <a:effectLst/>
          </c:spPr>
          <c:marker>
            <c:symbol val="none"/>
          </c:marker>
          <c:dLbls>
            <c:dLbl>
              <c:idx val="0"/>
              <c:layout>
                <c:manualLayout>
                  <c:x val="0.80114449213161665"/>
                  <c:y val="-3.66972477064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08C-4492-8F8E-D981AF57B56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noFill/>
                      <a:round/>
                    </a:ln>
                    <a:effectLst/>
                  </c:spPr>
                </c15:leaderLines>
              </c:ext>
            </c:extLst>
          </c:dLbls>
          <c:errBars>
            <c:errDir val="x"/>
            <c:errBarType val="plus"/>
            <c:errValType val="fixedVal"/>
            <c:noEndCap val="1"/>
            <c:val val="85"/>
            <c:spPr>
              <a:noFill/>
              <a:ln w="19050" cap="flat" cmpd="sng" algn="ctr">
                <a:solidFill>
                  <a:schemeClr val="tx1"/>
                </a:solidFill>
                <a:prstDash val="dash"/>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Lit>
              <c:formatCode>General</c:formatCode>
              <c:ptCount val="1"/>
              <c:pt idx="0">
                <c:v>0.5</c:v>
              </c:pt>
            </c:numLit>
          </c:xVal>
          <c:yVal>
            <c:numRef>
              <c:f>Sheet1!$G$1</c:f>
              <c:numCache>
                <c:formatCode>General</c:formatCode>
                <c:ptCount val="1"/>
                <c:pt idx="0">
                  <c:v>125</c:v>
                </c:pt>
              </c:numCache>
            </c:numRef>
          </c:yVal>
          <c:smooth val="0"/>
          <c:extLst>
            <c:ext xmlns:c16="http://schemas.microsoft.com/office/drawing/2014/chart" uri="{C3380CC4-5D6E-409C-BE32-E72D297353CC}">
              <c16:uniqueId val="{00000002-E08C-4492-8F8E-D981AF57B564}"/>
            </c:ext>
          </c:extLst>
        </c:ser>
        <c:dLbls>
          <c:showLegendKey val="0"/>
          <c:showVal val="1"/>
          <c:showCatName val="0"/>
          <c:showSerName val="0"/>
          <c:showPercent val="0"/>
          <c:showBubbleSize val="0"/>
        </c:dLbls>
        <c:axId val="153925296"/>
        <c:axId val="153933200"/>
      </c:scatterChart>
      <c:catAx>
        <c:axId val="15392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a:t>Year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933200"/>
        <c:crosses val="autoZero"/>
        <c:auto val="1"/>
        <c:lblAlgn val="ctr"/>
        <c:lblOffset val="100"/>
        <c:tickLblSkip val="5"/>
        <c:noMultiLvlLbl val="0"/>
      </c:catAx>
      <c:valAx>
        <c:axId val="153933200"/>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GB" sz="1400"/>
                  <a:t>Mortality index</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925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88670166229221"/>
          <c:y val="5.1425899953249185E-2"/>
          <c:w val="0.81733552055992997"/>
          <c:h val="0.8260633970543303"/>
        </c:manualLayout>
      </c:layout>
      <c:barChart>
        <c:barDir val="col"/>
        <c:grouping val="clustered"/>
        <c:varyColors val="0"/>
        <c:ser>
          <c:idx val="0"/>
          <c:order val="0"/>
          <c:spPr>
            <a:solidFill>
              <a:schemeClr val="tx1"/>
            </a:solidFill>
            <a:ln>
              <a:solidFill>
                <a:schemeClr val="tx1">
                  <a:lumMod val="15000"/>
                  <a:lumOff val="85000"/>
                  <a:alpha val="98000"/>
                </a:schemeClr>
              </a:solidFill>
            </a:ln>
            <a:effectLst/>
          </c:spPr>
          <c:invertIfNegative val="0"/>
          <c:cat>
            <c:numRef>
              <c:f>Sheet2!$A$2:$A$28</c:f>
              <c:numCache>
                <c:formatCode>General</c:formatCode>
                <c:ptCount val="27"/>
                <c:pt idx="0">
                  <c:v>1770</c:v>
                </c:pt>
                <c:pt idx="1">
                  <c:v>1771</c:v>
                </c:pt>
                <c:pt idx="2">
                  <c:v>1772</c:v>
                </c:pt>
                <c:pt idx="3">
                  <c:v>1773</c:v>
                </c:pt>
                <c:pt idx="4">
                  <c:v>1774</c:v>
                </c:pt>
                <c:pt idx="5">
                  <c:v>1775</c:v>
                </c:pt>
                <c:pt idx="6">
                  <c:v>1776</c:v>
                </c:pt>
                <c:pt idx="7">
                  <c:v>1777</c:v>
                </c:pt>
                <c:pt idx="8">
                  <c:v>1778</c:v>
                </c:pt>
                <c:pt idx="9">
                  <c:v>1779</c:v>
                </c:pt>
                <c:pt idx="10">
                  <c:v>1780</c:v>
                </c:pt>
                <c:pt idx="11">
                  <c:v>1781</c:v>
                </c:pt>
                <c:pt idx="12">
                  <c:v>1782</c:v>
                </c:pt>
                <c:pt idx="13">
                  <c:v>1783</c:v>
                </c:pt>
                <c:pt idx="14">
                  <c:v>1784</c:v>
                </c:pt>
                <c:pt idx="15">
                  <c:v>1785</c:v>
                </c:pt>
                <c:pt idx="16">
                  <c:v>1786</c:v>
                </c:pt>
                <c:pt idx="17">
                  <c:v>1787</c:v>
                </c:pt>
                <c:pt idx="18">
                  <c:v>1788</c:v>
                </c:pt>
                <c:pt idx="19">
                  <c:v>1789</c:v>
                </c:pt>
                <c:pt idx="20">
                  <c:v>1790</c:v>
                </c:pt>
                <c:pt idx="21">
                  <c:v>1791</c:v>
                </c:pt>
                <c:pt idx="22">
                  <c:v>1792</c:v>
                </c:pt>
                <c:pt idx="23">
                  <c:v>1793</c:v>
                </c:pt>
                <c:pt idx="24">
                  <c:v>1794</c:v>
                </c:pt>
                <c:pt idx="25">
                  <c:v>1795</c:v>
                </c:pt>
              </c:numCache>
            </c:numRef>
          </c:cat>
          <c:val>
            <c:numRef>
              <c:f>Sheet2!$I$2:$I$27</c:f>
              <c:numCache>
                <c:formatCode>0.00</c:formatCode>
                <c:ptCount val="26"/>
                <c:pt idx="0">
                  <c:v>0.94491118252306794</c:v>
                </c:pt>
                <c:pt idx="1">
                  <c:v>0</c:v>
                </c:pt>
                <c:pt idx="2">
                  <c:v>-0.94491118252306794</c:v>
                </c:pt>
                <c:pt idx="3">
                  <c:v>-0.94491118252306794</c:v>
                </c:pt>
                <c:pt idx="4">
                  <c:v>-0.94491118252306794</c:v>
                </c:pt>
                <c:pt idx="5">
                  <c:v>-0.47245559126153397</c:v>
                </c:pt>
                <c:pt idx="6">
                  <c:v>-0.47245559126153397</c:v>
                </c:pt>
                <c:pt idx="7">
                  <c:v>0.47245559126153397</c:v>
                </c:pt>
                <c:pt idx="8">
                  <c:v>0</c:v>
                </c:pt>
                <c:pt idx="9">
                  <c:v>0.94491118252306794</c:v>
                </c:pt>
                <c:pt idx="10">
                  <c:v>0.94491118252306794</c:v>
                </c:pt>
                <c:pt idx="11">
                  <c:v>1.4173667737846021</c:v>
                </c:pt>
                <c:pt idx="12">
                  <c:v>0</c:v>
                </c:pt>
                <c:pt idx="13">
                  <c:v>2.8347335475692041</c:v>
                </c:pt>
                <c:pt idx="14">
                  <c:v>-0.94491118252306794</c:v>
                </c:pt>
                <c:pt idx="15">
                  <c:v>0.94491118252306794</c:v>
                </c:pt>
                <c:pt idx="16">
                  <c:v>-0.47245559126153397</c:v>
                </c:pt>
                <c:pt idx="17">
                  <c:v>-0.47245559126153397</c:v>
                </c:pt>
                <c:pt idx="18">
                  <c:v>1.4173667737846021</c:v>
                </c:pt>
                <c:pt idx="19">
                  <c:v>-0.47245559126153397</c:v>
                </c:pt>
                <c:pt idx="20">
                  <c:v>-0.94491118252306794</c:v>
                </c:pt>
                <c:pt idx="21">
                  <c:v>-1.4173667737846021</c:v>
                </c:pt>
                <c:pt idx="22">
                  <c:v>-0.47245559126153397</c:v>
                </c:pt>
                <c:pt idx="23">
                  <c:v>-0.47245559126153397</c:v>
                </c:pt>
                <c:pt idx="24">
                  <c:v>0.47245559126153397</c:v>
                </c:pt>
                <c:pt idx="25">
                  <c:v>-0.94491118252306794</c:v>
                </c:pt>
              </c:numCache>
            </c:numRef>
          </c:val>
          <c:extLst>
            <c:ext xmlns:c16="http://schemas.microsoft.com/office/drawing/2014/chart" uri="{C3380CC4-5D6E-409C-BE32-E72D297353CC}">
              <c16:uniqueId val="{00000000-FB39-4342-BCBA-5A7B7FB61A82}"/>
            </c:ext>
          </c:extLst>
        </c:ser>
        <c:dLbls>
          <c:showLegendKey val="0"/>
          <c:showVal val="0"/>
          <c:showCatName val="0"/>
          <c:showSerName val="0"/>
          <c:showPercent val="0"/>
          <c:showBubbleSize val="0"/>
        </c:dLbls>
        <c:gapWidth val="219"/>
        <c:overlap val="-27"/>
        <c:axId val="161926752"/>
        <c:axId val="161927168"/>
      </c:barChart>
      <c:catAx>
        <c:axId val="161926752"/>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a:t>Year</a:t>
                </a:r>
              </a:p>
            </c:rich>
          </c:tx>
          <c:layout>
            <c:manualLayout>
              <c:xMode val="edge"/>
              <c:yMode val="edge"/>
              <c:x val="0.53045998942964889"/>
              <c:y val="0.89030957668752941"/>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1927168"/>
        <c:crosses val="autoZero"/>
        <c:auto val="1"/>
        <c:lblAlgn val="ctr"/>
        <c:lblOffset val="100"/>
        <c:noMultiLvlLbl val="0"/>
      </c:catAx>
      <c:valAx>
        <c:axId val="161927168"/>
        <c:scaling>
          <c:orientation val="minMax"/>
          <c:max val="3"/>
          <c:min val="-1.5"/>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sz="1400" b="1"/>
                  <a:t>Z-scores</a:t>
                </a:r>
                <a:r>
                  <a:rPr lang="en-GB" b="1" baseline="0"/>
                  <a:t> </a:t>
                </a:r>
                <a:endParaRPr lang="en-GB"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192675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Kandrová</dc:creator>
  <cp:keywords/>
  <dc:description/>
  <cp:lastModifiedBy>Silvia Kandrová</cp:lastModifiedBy>
  <cp:revision>33</cp:revision>
  <dcterms:created xsi:type="dcterms:W3CDTF">2021-02-22T07:59:00Z</dcterms:created>
  <dcterms:modified xsi:type="dcterms:W3CDTF">2021-02-24T09:52:00Z</dcterms:modified>
</cp:coreProperties>
</file>