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2817" w:rsidRDefault="00442817" w:rsidP="00A02606">
      <w:pPr>
        <w:jc w:val="center"/>
        <w:rPr>
          <w:b/>
          <w:szCs w:val="28"/>
        </w:rPr>
      </w:pPr>
      <w:r>
        <w:rPr>
          <w:b/>
          <w:szCs w:val="28"/>
        </w:rPr>
        <w:t>PREŠOVSKÁ UNIVERZITA V PREŠOVE</w:t>
      </w:r>
    </w:p>
    <w:p w:rsidR="00170389" w:rsidRDefault="00170389" w:rsidP="00A02606">
      <w:pPr>
        <w:jc w:val="center"/>
        <w:rPr>
          <w:sz w:val="28"/>
          <w:szCs w:val="28"/>
        </w:rPr>
      </w:pPr>
      <w:r>
        <w:rPr>
          <w:b/>
          <w:szCs w:val="28"/>
        </w:rPr>
        <w:t>FAKULTA PRÍRODNÝCH A HUMANITNÝCH VIED</w:t>
      </w:r>
      <w:r w:rsidR="00442817">
        <w:rPr>
          <w:sz w:val="28"/>
          <w:szCs w:val="28"/>
        </w:rPr>
        <w:t xml:space="preserve"> </w:t>
      </w:r>
    </w:p>
    <w:p w:rsidR="00170389" w:rsidRDefault="00170389" w:rsidP="00A02606">
      <w:pPr>
        <w:jc w:val="center"/>
        <w:rPr>
          <w:sz w:val="28"/>
          <w:szCs w:val="28"/>
        </w:rPr>
      </w:pPr>
    </w:p>
    <w:p w:rsidR="00170389" w:rsidRDefault="00170389" w:rsidP="00A02606">
      <w:pPr>
        <w:jc w:val="center"/>
        <w:rPr>
          <w:sz w:val="28"/>
          <w:szCs w:val="28"/>
        </w:rPr>
      </w:pPr>
    </w:p>
    <w:p w:rsidR="00170389" w:rsidRDefault="00170389" w:rsidP="00A02606">
      <w:pPr>
        <w:jc w:val="center"/>
        <w:rPr>
          <w:sz w:val="28"/>
          <w:szCs w:val="28"/>
        </w:rPr>
      </w:pPr>
    </w:p>
    <w:p w:rsidR="00170389" w:rsidRDefault="00170389" w:rsidP="00A02606">
      <w:pPr>
        <w:jc w:val="center"/>
        <w:rPr>
          <w:sz w:val="28"/>
          <w:szCs w:val="28"/>
        </w:rPr>
      </w:pPr>
    </w:p>
    <w:p w:rsidR="00170389" w:rsidRDefault="00170389" w:rsidP="00A02606">
      <w:pPr>
        <w:jc w:val="center"/>
        <w:rPr>
          <w:sz w:val="28"/>
          <w:szCs w:val="28"/>
        </w:rPr>
      </w:pPr>
    </w:p>
    <w:p w:rsidR="00170389" w:rsidRDefault="00170389" w:rsidP="00A02606">
      <w:pPr>
        <w:jc w:val="center"/>
        <w:rPr>
          <w:sz w:val="28"/>
          <w:szCs w:val="28"/>
        </w:rPr>
      </w:pPr>
    </w:p>
    <w:p w:rsidR="00170389" w:rsidRDefault="00170389" w:rsidP="00A02606">
      <w:pPr>
        <w:jc w:val="center"/>
        <w:rPr>
          <w:sz w:val="28"/>
          <w:szCs w:val="28"/>
        </w:rPr>
      </w:pPr>
    </w:p>
    <w:p w:rsidR="00170389" w:rsidRDefault="00170389" w:rsidP="00A02606">
      <w:pPr>
        <w:jc w:val="center"/>
        <w:rPr>
          <w:sz w:val="28"/>
          <w:szCs w:val="28"/>
        </w:rPr>
      </w:pPr>
    </w:p>
    <w:p w:rsidR="00170389" w:rsidRDefault="00170389" w:rsidP="00A02606">
      <w:pPr>
        <w:jc w:val="center"/>
        <w:rPr>
          <w:sz w:val="28"/>
          <w:szCs w:val="28"/>
        </w:rPr>
      </w:pPr>
    </w:p>
    <w:p w:rsidR="00170389" w:rsidRDefault="00170389" w:rsidP="00A02606">
      <w:pPr>
        <w:jc w:val="center"/>
        <w:rPr>
          <w:sz w:val="28"/>
          <w:szCs w:val="28"/>
        </w:rPr>
      </w:pPr>
    </w:p>
    <w:p w:rsidR="00170389" w:rsidRDefault="00170389" w:rsidP="00A02606">
      <w:pPr>
        <w:jc w:val="center"/>
        <w:rPr>
          <w:sz w:val="28"/>
          <w:szCs w:val="28"/>
        </w:rPr>
      </w:pPr>
    </w:p>
    <w:p w:rsidR="00170389" w:rsidRDefault="00170389" w:rsidP="00A02606">
      <w:pPr>
        <w:jc w:val="center"/>
        <w:rPr>
          <w:sz w:val="28"/>
          <w:szCs w:val="28"/>
        </w:rPr>
      </w:pPr>
    </w:p>
    <w:p w:rsidR="00AD3090" w:rsidRDefault="00AD3090" w:rsidP="00A02606">
      <w:pPr>
        <w:jc w:val="center"/>
        <w:rPr>
          <w:b/>
          <w:color w:val="444444"/>
          <w:shd w:val="clear" w:color="auto" w:fill="FFFFFF"/>
        </w:rPr>
      </w:pPr>
      <w:r w:rsidRPr="00AD3090">
        <w:rPr>
          <w:b/>
        </w:rPr>
        <w:t>Monoklonové protilátky. Princíp prípravy monoklonových protilátok a ich využitie v rôznych oblastiach vedy, výskumu a medicíny</w:t>
      </w:r>
    </w:p>
    <w:p w:rsidR="00170389" w:rsidRPr="00AD3090" w:rsidRDefault="00170389" w:rsidP="00A02606">
      <w:pPr>
        <w:jc w:val="center"/>
        <w:rPr>
          <w:b/>
        </w:rPr>
      </w:pPr>
      <w:r w:rsidRPr="00AD3090">
        <w:rPr>
          <w:b/>
        </w:rPr>
        <w:t>Seminárna práca</w:t>
      </w:r>
    </w:p>
    <w:p w:rsidR="00170389" w:rsidRDefault="00170389" w:rsidP="00A02606">
      <w:pPr>
        <w:jc w:val="center"/>
        <w:rPr>
          <w:b/>
          <w:szCs w:val="28"/>
        </w:rPr>
      </w:pPr>
    </w:p>
    <w:p w:rsidR="00170389" w:rsidRDefault="00170389" w:rsidP="00A02606">
      <w:pPr>
        <w:jc w:val="center"/>
        <w:rPr>
          <w:b/>
          <w:szCs w:val="28"/>
        </w:rPr>
      </w:pPr>
    </w:p>
    <w:p w:rsidR="00170389" w:rsidRDefault="00170389" w:rsidP="00A02606">
      <w:pPr>
        <w:jc w:val="center"/>
        <w:rPr>
          <w:b/>
          <w:szCs w:val="28"/>
        </w:rPr>
      </w:pPr>
    </w:p>
    <w:p w:rsidR="00170389" w:rsidRDefault="00170389" w:rsidP="00A02606">
      <w:pPr>
        <w:jc w:val="center"/>
        <w:rPr>
          <w:b/>
          <w:szCs w:val="28"/>
        </w:rPr>
      </w:pPr>
    </w:p>
    <w:p w:rsidR="00170389" w:rsidRDefault="00170389" w:rsidP="00A02606">
      <w:pPr>
        <w:jc w:val="center"/>
        <w:rPr>
          <w:b/>
          <w:szCs w:val="28"/>
        </w:rPr>
      </w:pPr>
    </w:p>
    <w:p w:rsidR="00170389" w:rsidRDefault="00170389" w:rsidP="00A02606">
      <w:pPr>
        <w:jc w:val="center"/>
        <w:rPr>
          <w:b/>
          <w:szCs w:val="28"/>
        </w:rPr>
      </w:pPr>
    </w:p>
    <w:p w:rsidR="00170389" w:rsidRDefault="00AD3090" w:rsidP="00A02606">
      <w:pPr>
        <w:jc w:val="center"/>
        <w:rPr>
          <w:b/>
          <w:szCs w:val="28"/>
        </w:rPr>
      </w:pPr>
      <w:r>
        <w:rPr>
          <w:b/>
          <w:szCs w:val="28"/>
        </w:rPr>
        <w:t>Vladimír Plachetka</w:t>
      </w:r>
    </w:p>
    <w:p w:rsidR="00170389" w:rsidRDefault="00170389" w:rsidP="00A02606">
      <w:pPr>
        <w:jc w:val="center"/>
        <w:rPr>
          <w:b/>
          <w:szCs w:val="28"/>
        </w:rPr>
      </w:pPr>
    </w:p>
    <w:p w:rsidR="00170389" w:rsidRPr="00170389" w:rsidRDefault="00170389" w:rsidP="00A02606">
      <w:pPr>
        <w:jc w:val="center"/>
        <w:rPr>
          <w:b/>
          <w:szCs w:val="28"/>
        </w:rPr>
      </w:pPr>
      <w:r>
        <w:rPr>
          <w:b/>
          <w:szCs w:val="28"/>
        </w:rPr>
        <w:t>20</w:t>
      </w:r>
      <w:r w:rsidR="00AD3090">
        <w:rPr>
          <w:b/>
          <w:szCs w:val="28"/>
        </w:rPr>
        <w:t>20</w:t>
      </w:r>
      <w:r>
        <w:rPr>
          <w:b/>
          <w:szCs w:val="28"/>
        </w:rPr>
        <w:t>/20</w:t>
      </w:r>
      <w:r w:rsidR="00AD3090">
        <w:rPr>
          <w:b/>
          <w:szCs w:val="28"/>
        </w:rPr>
        <w:t>21</w:t>
      </w:r>
    </w:p>
    <w:p w:rsidR="00E256D3" w:rsidRDefault="00E256D3" w:rsidP="00A02606">
      <w:pPr>
        <w:jc w:val="center"/>
        <w:rPr>
          <w:sz w:val="28"/>
          <w:szCs w:val="28"/>
        </w:rPr>
      </w:pPr>
    </w:p>
    <w:p w:rsidR="00A16666" w:rsidRDefault="00A16666" w:rsidP="00A02606">
      <w:pPr>
        <w:jc w:val="center"/>
        <w:rPr>
          <w:sz w:val="28"/>
          <w:szCs w:val="28"/>
        </w:rPr>
      </w:pPr>
    </w:p>
    <w:p w:rsidR="00A16666" w:rsidRDefault="00A16666" w:rsidP="00A02606">
      <w:pPr>
        <w:jc w:val="center"/>
        <w:rPr>
          <w:sz w:val="28"/>
          <w:szCs w:val="28"/>
        </w:rPr>
      </w:pPr>
    </w:p>
    <w:p w:rsidR="00A16666" w:rsidRDefault="00A16666" w:rsidP="00A02606">
      <w:pPr>
        <w:jc w:val="center"/>
        <w:rPr>
          <w:sz w:val="28"/>
          <w:szCs w:val="28"/>
        </w:rPr>
      </w:pPr>
    </w:p>
    <w:p w:rsidR="00A16666" w:rsidRDefault="00A16666" w:rsidP="00A02606">
      <w:pPr>
        <w:jc w:val="center"/>
        <w:rPr>
          <w:sz w:val="28"/>
          <w:szCs w:val="28"/>
        </w:rPr>
      </w:pPr>
    </w:p>
    <w:p w:rsidR="00A16666" w:rsidRDefault="00A16666" w:rsidP="00A02606">
      <w:pPr>
        <w:jc w:val="center"/>
        <w:rPr>
          <w:sz w:val="28"/>
          <w:szCs w:val="28"/>
        </w:rPr>
      </w:pPr>
    </w:p>
    <w:p w:rsidR="00A16666" w:rsidRDefault="00A16666" w:rsidP="00A02606">
      <w:pPr>
        <w:jc w:val="center"/>
        <w:rPr>
          <w:sz w:val="28"/>
          <w:szCs w:val="28"/>
        </w:rPr>
      </w:pPr>
    </w:p>
    <w:p w:rsidR="00A16666" w:rsidRDefault="00A16666" w:rsidP="00A02606">
      <w:pPr>
        <w:jc w:val="center"/>
        <w:rPr>
          <w:sz w:val="28"/>
          <w:szCs w:val="28"/>
        </w:rPr>
      </w:pPr>
    </w:p>
    <w:p w:rsidR="00A16666" w:rsidRDefault="00A16666" w:rsidP="00A02606">
      <w:pPr>
        <w:jc w:val="center"/>
        <w:rPr>
          <w:sz w:val="28"/>
          <w:szCs w:val="28"/>
        </w:rPr>
      </w:pPr>
    </w:p>
    <w:p w:rsidR="00A16666" w:rsidRDefault="00A16666" w:rsidP="00A02606">
      <w:pPr>
        <w:jc w:val="center"/>
        <w:rPr>
          <w:sz w:val="28"/>
          <w:szCs w:val="28"/>
        </w:rPr>
      </w:pPr>
    </w:p>
    <w:p w:rsidR="00A16666" w:rsidRDefault="00A16666" w:rsidP="00A02606">
      <w:pPr>
        <w:jc w:val="center"/>
        <w:rPr>
          <w:sz w:val="28"/>
          <w:szCs w:val="28"/>
        </w:rPr>
      </w:pPr>
    </w:p>
    <w:p w:rsidR="00A16666" w:rsidRDefault="00A16666" w:rsidP="00A02606">
      <w:pPr>
        <w:jc w:val="center"/>
        <w:rPr>
          <w:sz w:val="28"/>
          <w:szCs w:val="28"/>
        </w:rPr>
      </w:pPr>
    </w:p>
    <w:p w:rsidR="00A16666" w:rsidRDefault="00A16666" w:rsidP="00A02606">
      <w:pPr>
        <w:jc w:val="center"/>
        <w:rPr>
          <w:sz w:val="28"/>
          <w:szCs w:val="28"/>
        </w:rPr>
      </w:pPr>
    </w:p>
    <w:p w:rsidR="00A16666" w:rsidRDefault="00A16666" w:rsidP="00A02606">
      <w:pPr>
        <w:jc w:val="center"/>
        <w:rPr>
          <w:sz w:val="28"/>
          <w:szCs w:val="28"/>
        </w:rPr>
      </w:pPr>
    </w:p>
    <w:p w:rsidR="00A16666" w:rsidRDefault="00A16666" w:rsidP="00A02606">
      <w:pPr>
        <w:jc w:val="center"/>
        <w:rPr>
          <w:sz w:val="28"/>
          <w:szCs w:val="28"/>
        </w:rPr>
      </w:pPr>
    </w:p>
    <w:p w:rsidR="00A16666" w:rsidRDefault="00A16666" w:rsidP="00A02606">
      <w:pPr>
        <w:jc w:val="center"/>
        <w:rPr>
          <w:sz w:val="28"/>
          <w:szCs w:val="28"/>
        </w:rPr>
      </w:pPr>
    </w:p>
    <w:p w:rsidR="00A16666" w:rsidRDefault="00A16666" w:rsidP="00A02606">
      <w:pPr>
        <w:jc w:val="center"/>
        <w:rPr>
          <w:sz w:val="28"/>
          <w:szCs w:val="28"/>
        </w:rPr>
      </w:pPr>
    </w:p>
    <w:p w:rsidR="00A16666" w:rsidRDefault="00A16666" w:rsidP="00A02606">
      <w:pPr>
        <w:jc w:val="center"/>
        <w:rPr>
          <w:sz w:val="28"/>
          <w:szCs w:val="28"/>
        </w:rPr>
      </w:pPr>
    </w:p>
    <w:p w:rsidR="00A16666" w:rsidRDefault="00A16666" w:rsidP="00A02606">
      <w:pPr>
        <w:jc w:val="center"/>
        <w:rPr>
          <w:sz w:val="28"/>
          <w:szCs w:val="28"/>
        </w:rPr>
      </w:pPr>
    </w:p>
    <w:p w:rsidR="00A02606" w:rsidRPr="000F4B36" w:rsidRDefault="00A02606" w:rsidP="00A02606">
      <w:pPr>
        <w:jc w:val="center"/>
        <w:rPr>
          <w:b/>
        </w:rPr>
      </w:pPr>
      <w:r w:rsidRPr="000F4B36">
        <w:rPr>
          <w:b/>
        </w:rPr>
        <w:lastRenderedPageBreak/>
        <w:t xml:space="preserve">PREŠOVSKÁ </w:t>
      </w:r>
      <w:r w:rsidRPr="00B8070E">
        <w:rPr>
          <w:b/>
        </w:rPr>
        <w:t>UNIVERZITA</w:t>
      </w:r>
      <w:r w:rsidRPr="000F4B36">
        <w:rPr>
          <w:b/>
        </w:rPr>
        <w:t xml:space="preserve"> V PREŠOVE</w:t>
      </w:r>
    </w:p>
    <w:p w:rsidR="00A02606" w:rsidRPr="000F4B36" w:rsidRDefault="00A02606" w:rsidP="00A02606">
      <w:pPr>
        <w:jc w:val="center"/>
        <w:rPr>
          <w:b/>
        </w:rPr>
      </w:pPr>
      <w:r w:rsidRPr="000F4B36">
        <w:rPr>
          <w:b/>
        </w:rPr>
        <w:t>FAKULTA</w:t>
      </w:r>
      <w:r w:rsidR="005120A9">
        <w:rPr>
          <w:b/>
        </w:rPr>
        <w:t xml:space="preserve"> HUMANITNÝCH A PRÍRODNÝCH VIED</w:t>
      </w:r>
    </w:p>
    <w:p w:rsidR="00A02606" w:rsidRPr="000F4B36" w:rsidRDefault="00A02606" w:rsidP="00A02606">
      <w:pPr>
        <w:jc w:val="center"/>
        <w:rPr>
          <w:b/>
        </w:rPr>
      </w:pPr>
    </w:p>
    <w:p w:rsidR="00A02606" w:rsidRPr="000F4B36" w:rsidRDefault="00A02606" w:rsidP="00A02606">
      <w:pPr>
        <w:jc w:val="center"/>
        <w:rPr>
          <w:b/>
          <w:sz w:val="28"/>
          <w:szCs w:val="28"/>
        </w:rPr>
      </w:pPr>
    </w:p>
    <w:p w:rsidR="00A02606" w:rsidRPr="000F4B36" w:rsidRDefault="00A02606" w:rsidP="00A02606">
      <w:pPr>
        <w:jc w:val="center"/>
        <w:rPr>
          <w:b/>
          <w:sz w:val="28"/>
          <w:szCs w:val="28"/>
        </w:rPr>
      </w:pPr>
    </w:p>
    <w:p w:rsidR="00A02606" w:rsidRPr="000F4B36" w:rsidRDefault="00A02606" w:rsidP="00A02606">
      <w:pPr>
        <w:jc w:val="center"/>
        <w:rPr>
          <w:b/>
          <w:sz w:val="28"/>
          <w:szCs w:val="28"/>
        </w:rPr>
      </w:pPr>
    </w:p>
    <w:p w:rsidR="00A02606" w:rsidRPr="000F4B36" w:rsidRDefault="00A02606" w:rsidP="00A02606">
      <w:pPr>
        <w:jc w:val="center"/>
        <w:rPr>
          <w:b/>
          <w:sz w:val="28"/>
          <w:szCs w:val="28"/>
        </w:rPr>
      </w:pPr>
    </w:p>
    <w:p w:rsidR="00A02606" w:rsidRPr="000F4B36" w:rsidRDefault="00A02606" w:rsidP="00A02606">
      <w:pPr>
        <w:jc w:val="center"/>
        <w:rPr>
          <w:b/>
          <w:sz w:val="28"/>
          <w:szCs w:val="28"/>
        </w:rPr>
      </w:pPr>
    </w:p>
    <w:p w:rsidR="00A02606" w:rsidRPr="000F4B36" w:rsidRDefault="00A02606" w:rsidP="00A02606">
      <w:pPr>
        <w:jc w:val="center"/>
        <w:rPr>
          <w:b/>
          <w:sz w:val="28"/>
          <w:szCs w:val="28"/>
        </w:rPr>
      </w:pPr>
    </w:p>
    <w:p w:rsidR="00A02606" w:rsidRPr="000F4B36" w:rsidRDefault="00A02606" w:rsidP="00A02606">
      <w:pPr>
        <w:jc w:val="center"/>
        <w:rPr>
          <w:b/>
          <w:sz w:val="28"/>
          <w:szCs w:val="28"/>
        </w:rPr>
      </w:pPr>
    </w:p>
    <w:p w:rsidR="00A02606" w:rsidRPr="000F4B36" w:rsidRDefault="00A02606" w:rsidP="00A02606">
      <w:pPr>
        <w:jc w:val="center"/>
        <w:rPr>
          <w:b/>
          <w:sz w:val="28"/>
          <w:szCs w:val="28"/>
        </w:rPr>
      </w:pPr>
    </w:p>
    <w:p w:rsidR="00A02606" w:rsidRPr="000F4B36" w:rsidRDefault="00A02606" w:rsidP="00A02606">
      <w:pPr>
        <w:jc w:val="center"/>
        <w:rPr>
          <w:b/>
          <w:sz w:val="28"/>
          <w:szCs w:val="28"/>
        </w:rPr>
      </w:pPr>
    </w:p>
    <w:p w:rsidR="00A02606" w:rsidRPr="000F4B36" w:rsidRDefault="00A02606" w:rsidP="00A02606">
      <w:pPr>
        <w:jc w:val="center"/>
        <w:rPr>
          <w:b/>
          <w:sz w:val="28"/>
          <w:szCs w:val="28"/>
        </w:rPr>
      </w:pPr>
    </w:p>
    <w:p w:rsidR="00A02606" w:rsidRPr="000F4B36" w:rsidRDefault="00A02606" w:rsidP="00A02606">
      <w:pPr>
        <w:jc w:val="center"/>
        <w:rPr>
          <w:b/>
          <w:sz w:val="28"/>
          <w:szCs w:val="28"/>
        </w:rPr>
      </w:pPr>
    </w:p>
    <w:p w:rsidR="00AD3090" w:rsidRDefault="00AD3090" w:rsidP="00AD3090">
      <w:pPr>
        <w:jc w:val="center"/>
        <w:rPr>
          <w:b/>
          <w:color w:val="444444"/>
          <w:shd w:val="clear" w:color="auto" w:fill="FFFFFF"/>
        </w:rPr>
      </w:pPr>
      <w:r w:rsidRPr="00AD3090">
        <w:rPr>
          <w:b/>
        </w:rPr>
        <w:t>Monoklonové protilátky. Princíp prípravy monoklonových protilátok a ich využitie v rôznych oblastiach vedy, výskumu a medicíny</w:t>
      </w:r>
    </w:p>
    <w:p w:rsidR="00A02606" w:rsidRPr="000F4B36" w:rsidRDefault="00A02606" w:rsidP="00A02606">
      <w:pPr>
        <w:jc w:val="center"/>
        <w:rPr>
          <w:b/>
        </w:rPr>
      </w:pPr>
      <w:r w:rsidRPr="000F4B36">
        <w:rPr>
          <w:b/>
        </w:rPr>
        <w:t>Seminárna práca</w:t>
      </w:r>
    </w:p>
    <w:p w:rsidR="00A02606" w:rsidRPr="000F4B36" w:rsidRDefault="00A02606" w:rsidP="00A02606">
      <w:pPr>
        <w:jc w:val="center"/>
        <w:rPr>
          <w:b/>
        </w:rPr>
      </w:pPr>
    </w:p>
    <w:p w:rsidR="00E256D3" w:rsidRPr="000F4B36" w:rsidRDefault="00E256D3" w:rsidP="00A02606">
      <w:pPr>
        <w:jc w:val="center"/>
        <w:rPr>
          <w:b/>
        </w:rPr>
      </w:pPr>
    </w:p>
    <w:p w:rsidR="00E256D3" w:rsidRPr="000F4B36" w:rsidRDefault="00E256D3" w:rsidP="00A02606">
      <w:pPr>
        <w:jc w:val="center"/>
        <w:rPr>
          <w:b/>
        </w:rPr>
      </w:pPr>
    </w:p>
    <w:p w:rsidR="00E256D3" w:rsidRPr="000F4B36" w:rsidRDefault="00E256D3" w:rsidP="00A02606">
      <w:pPr>
        <w:jc w:val="center"/>
        <w:rPr>
          <w:b/>
        </w:rPr>
      </w:pPr>
    </w:p>
    <w:p w:rsidR="00E256D3" w:rsidRPr="000F4B36" w:rsidRDefault="00E256D3" w:rsidP="00A02606">
      <w:pPr>
        <w:jc w:val="center"/>
        <w:rPr>
          <w:b/>
        </w:rPr>
      </w:pPr>
    </w:p>
    <w:p w:rsidR="00A02606" w:rsidRPr="000F4B36" w:rsidRDefault="00A02606" w:rsidP="00A02606">
      <w:pPr>
        <w:jc w:val="center"/>
        <w:rPr>
          <w:b/>
        </w:rPr>
      </w:pPr>
    </w:p>
    <w:p w:rsidR="00A02606" w:rsidRPr="000F4B36" w:rsidRDefault="00AD3090" w:rsidP="00A02606">
      <w:pPr>
        <w:jc w:val="center"/>
        <w:rPr>
          <w:b/>
        </w:rPr>
      </w:pPr>
      <w:r>
        <w:rPr>
          <w:b/>
        </w:rPr>
        <w:t>Vladimír Plachetka</w:t>
      </w:r>
    </w:p>
    <w:p w:rsidR="00A02606" w:rsidRPr="000F4B36" w:rsidRDefault="00A02606" w:rsidP="00A02606">
      <w:pPr>
        <w:jc w:val="center"/>
        <w:rPr>
          <w:b/>
        </w:rPr>
      </w:pPr>
    </w:p>
    <w:p w:rsidR="00A02606" w:rsidRPr="000F4B36" w:rsidRDefault="00A02606" w:rsidP="00A02606">
      <w:pPr>
        <w:jc w:val="center"/>
        <w:rPr>
          <w:b/>
        </w:rPr>
      </w:pPr>
    </w:p>
    <w:p w:rsidR="00A02606" w:rsidRPr="000F4B36" w:rsidRDefault="00A02606" w:rsidP="00A02606">
      <w:pPr>
        <w:jc w:val="center"/>
        <w:rPr>
          <w:b/>
        </w:rPr>
      </w:pPr>
    </w:p>
    <w:p w:rsidR="00A02606" w:rsidRPr="000F4B36" w:rsidRDefault="00A02606" w:rsidP="00A02606">
      <w:pPr>
        <w:jc w:val="center"/>
        <w:rPr>
          <w:b/>
        </w:rPr>
      </w:pPr>
    </w:p>
    <w:p w:rsidR="00A02606" w:rsidRPr="000F4B36" w:rsidRDefault="00A02606" w:rsidP="00A02606">
      <w:pPr>
        <w:jc w:val="center"/>
        <w:rPr>
          <w:b/>
        </w:rPr>
      </w:pPr>
    </w:p>
    <w:p w:rsidR="00A02606" w:rsidRDefault="00A02606" w:rsidP="00A02606">
      <w:pPr>
        <w:jc w:val="center"/>
      </w:pPr>
    </w:p>
    <w:p w:rsidR="00A02606" w:rsidRDefault="00A02606" w:rsidP="00A02606">
      <w:pPr>
        <w:jc w:val="center"/>
      </w:pPr>
    </w:p>
    <w:p w:rsidR="00A02606" w:rsidRDefault="00A02606" w:rsidP="00A02606">
      <w:pPr>
        <w:jc w:val="center"/>
      </w:pPr>
    </w:p>
    <w:p w:rsidR="00A02606" w:rsidRDefault="00A02606" w:rsidP="00A02606">
      <w:pPr>
        <w:jc w:val="center"/>
      </w:pPr>
    </w:p>
    <w:p w:rsidR="00A02606" w:rsidRDefault="00A02606" w:rsidP="00A02606">
      <w:pPr>
        <w:jc w:val="center"/>
      </w:pPr>
    </w:p>
    <w:p w:rsidR="00A02606" w:rsidRDefault="00A02606" w:rsidP="00A02606">
      <w:pPr>
        <w:jc w:val="center"/>
      </w:pPr>
    </w:p>
    <w:p w:rsidR="00A02606" w:rsidRDefault="00A02606" w:rsidP="00A02606">
      <w:pPr>
        <w:jc w:val="center"/>
      </w:pPr>
    </w:p>
    <w:p w:rsidR="00AD3090" w:rsidRDefault="00AD3090" w:rsidP="00A02606">
      <w:pPr>
        <w:jc w:val="center"/>
      </w:pPr>
    </w:p>
    <w:p w:rsidR="00AD3090" w:rsidRDefault="00AD3090" w:rsidP="00A02606">
      <w:pPr>
        <w:jc w:val="center"/>
      </w:pPr>
    </w:p>
    <w:p w:rsidR="00A02606" w:rsidRDefault="00A02606" w:rsidP="00A02606">
      <w:pPr>
        <w:jc w:val="center"/>
      </w:pPr>
    </w:p>
    <w:p w:rsidR="00A02606" w:rsidRDefault="00A02606" w:rsidP="00A02606">
      <w:pPr>
        <w:jc w:val="center"/>
      </w:pPr>
    </w:p>
    <w:p w:rsidR="00A02606" w:rsidRPr="000F4B36" w:rsidRDefault="00EA4523" w:rsidP="00E256D3">
      <w:pPr>
        <w:jc w:val="both"/>
      </w:pPr>
      <w:r w:rsidRPr="000F4B36">
        <w:t>P</w:t>
      </w:r>
      <w:r w:rsidR="00E256D3" w:rsidRPr="000F4B36">
        <w:t>redmet:</w:t>
      </w:r>
      <w:r w:rsidR="002178EE">
        <w:t xml:space="preserve"> </w:t>
      </w:r>
      <w:r w:rsidR="00AD3090">
        <w:t>Imunológia</w:t>
      </w:r>
    </w:p>
    <w:p w:rsidR="00AD3090" w:rsidRDefault="00EA4523" w:rsidP="00AD3090">
      <w:pPr>
        <w:jc w:val="both"/>
        <w:rPr>
          <w:rFonts w:ascii="Tahoma" w:hAnsi="Tahoma" w:cs="Tahoma"/>
          <w:color w:val="4C4C4C"/>
          <w:sz w:val="17"/>
          <w:szCs w:val="17"/>
        </w:rPr>
      </w:pPr>
      <w:r w:rsidRPr="000F4B36">
        <w:t>V</w:t>
      </w:r>
      <w:r w:rsidR="00E256D3" w:rsidRPr="000F4B36">
        <w:t>yučujúc</w:t>
      </w:r>
      <w:r w:rsidRPr="000F4B36">
        <w:t>i</w:t>
      </w:r>
      <w:r w:rsidR="00E256D3" w:rsidRPr="000F4B36">
        <w:t>:</w:t>
      </w:r>
      <w:r w:rsidR="00AD3090">
        <w:t xml:space="preserve"> </w:t>
      </w:r>
      <w:r w:rsidR="00AD3090" w:rsidRPr="00AD3090">
        <w:t>doc. RNDr. Iveta Boroňová, PhD., Mgr. Soňa Tökölyová</w:t>
      </w:r>
    </w:p>
    <w:p w:rsidR="00A02606" w:rsidRPr="000F4B36" w:rsidRDefault="00E256D3" w:rsidP="00A02606">
      <w:pPr>
        <w:jc w:val="both"/>
      </w:pPr>
      <w:r w:rsidRPr="000F4B36">
        <w:t>Študijný program:</w:t>
      </w:r>
      <w:r w:rsidR="002178EE">
        <w:t xml:space="preserve"> Učiteľstvo biológie a</w:t>
      </w:r>
      <w:r w:rsidR="00AD3090">
        <w:t> hudobného umenia</w:t>
      </w:r>
    </w:p>
    <w:p w:rsidR="00A02606" w:rsidRPr="000F4B36" w:rsidRDefault="00E256D3" w:rsidP="00A02606">
      <w:pPr>
        <w:jc w:val="both"/>
      </w:pPr>
      <w:r w:rsidRPr="000F4B36">
        <w:t>Forma štúdia:</w:t>
      </w:r>
      <w:r w:rsidR="002178EE">
        <w:t xml:space="preserve"> Denná</w:t>
      </w:r>
    </w:p>
    <w:p w:rsidR="00A02606" w:rsidRPr="000F4B36" w:rsidRDefault="00A02606" w:rsidP="00A02606">
      <w:pPr>
        <w:jc w:val="both"/>
      </w:pPr>
      <w:r w:rsidRPr="000F4B36">
        <w:t>Akademický rok/semester:</w:t>
      </w:r>
      <w:r w:rsidR="002178EE">
        <w:t xml:space="preserve"> 20</w:t>
      </w:r>
      <w:r w:rsidR="00E26478">
        <w:t>20</w:t>
      </w:r>
      <w:r w:rsidR="002178EE">
        <w:t>/20</w:t>
      </w:r>
      <w:r w:rsidR="00E26478">
        <w:t>21</w:t>
      </w:r>
      <w:r w:rsidR="002178EE">
        <w:t xml:space="preserve"> </w:t>
      </w:r>
      <w:r w:rsidR="00AD3090">
        <w:t>L</w:t>
      </w:r>
      <w:r w:rsidR="002178EE">
        <w:t>S</w:t>
      </w:r>
    </w:p>
    <w:p w:rsidR="00A02606" w:rsidRPr="000F4B36" w:rsidRDefault="00A02606" w:rsidP="00A02606">
      <w:pPr>
        <w:jc w:val="both"/>
      </w:pPr>
      <w:r w:rsidRPr="000F4B36">
        <w:t xml:space="preserve">Ročník: </w:t>
      </w:r>
      <w:r w:rsidR="002178EE">
        <w:t>Prvý</w:t>
      </w:r>
    </w:p>
    <w:p w:rsidR="00A16666" w:rsidRDefault="00A02606" w:rsidP="00A16666">
      <w:pPr>
        <w:jc w:val="both"/>
      </w:pPr>
      <w:r w:rsidRPr="000F4B36">
        <w:t>Študijná skupina:</w:t>
      </w:r>
      <w:r w:rsidR="00AD3090">
        <w:t xml:space="preserve"> BiHuM</w:t>
      </w:r>
    </w:p>
    <w:p w:rsidR="00A16666" w:rsidRDefault="00A16666" w:rsidP="00A16666">
      <w:pPr>
        <w:jc w:val="both"/>
      </w:pPr>
    </w:p>
    <w:p w:rsidR="00A16666" w:rsidRDefault="00A16666">
      <w:pPr>
        <w:pStyle w:val="Nadpisobsahu"/>
      </w:pPr>
      <w:r>
        <w:rPr>
          <w:lang w:val="cs-CZ"/>
        </w:rPr>
        <w:lastRenderedPageBreak/>
        <w:t>Obsah</w:t>
      </w:r>
    </w:p>
    <w:p w:rsidR="00382CAA" w:rsidRDefault="00A16666">
      <w:pPr>
        <w:pStyle w:val="Obsah1"/>
        <w:tabs>
          <w:tab w:val="right" w:leader="dot" w:pos="8777"/>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66642020" w:history="1">
        <w:r w:rsidR="00382CAA" w:rsidRPr="00DC58CA">
          <w:rPr>
            <w:rStyle w:val="Hypertextovodkaz"/>
            <w:rFonts w:ascii="Times New Roman" w:hAnsi="Times New Roman"/>
            <w:noProof/>
          </w:rPr>
          <w:t>Úvod</w:t>
        </w:r>
        <w:r w:rsidR="00382CAA">
          <w:rPr>
            <w:noProof/>
            <w:webHidden/>
          </w:rPr>
          <w:tab/>
        </w:r>
        <w:r w:rsidR="00382CAA">
          <w:rPr>
            <w:noProof/>
            <w:webHidden/>
          </w:rPr>
          <w:fldChar w:fldCharType="begin"/>
        </w:r>
        <w:r w:rsidR="00382CAA">
          <w:rPr>
            <w:noProof/>
            <w:webHidden/>
          </w:rPr>
          <w:instrText xml:space="preserve"> PAGEREF _Toc66642020 \h </w:instrText>
        </w:r>
        <w:r w:rsidR="00382CAA">
          <w:rPr>
            <w:noProof/>
            <w:webHidden/>
          </w:rPr>
        </w:r>
        <w:r w:rsidR="00382CAA">
          <w:rPr>
            <w:noProof/>
            <w:webHidden/>
          </w:rPr>
          <w:fldChar w:fldCharType="separate"/>
        </w:r>
        <w:r w:rsidR="00382CAA">
          <w:rPr>
            <w:noProof/>
            <w:webHidden/>
          </w:rPr>
          <w:t>4</w:t>
        </w:r>
        <w:r w:rsidR="00382CAA">
          <w:rPr>
            <w:noProof/>
            <w:webHidden/>
          </w:rPr>
          <w:fldChar w:fldCharType="end"/>
        </w:r>
      </w:hyperlink>
    </w:p>
    <w:p w:rsidR="00382CAA" w:rsidRDefault="00382CAA">
      <w:pPr>
        <w:pStyle w:val="Obsah1"/>
        <w:tabs>
          <w:tab w:val="right" w:leader="dot" w:pos="8777"/>
        </w:tabs>
        <w:rPr>
          <w:rFonts w:asciiTheme="minorHAnsi" w:eastAsiaTheme="minorEastAsia" w:hAnsiTheme="minorHAnsi" w:cstheme="minorBidi"/>
          <w:noProof/>
        </w:rPr>
      </w:pPr>
      <w:hyperlink w:anchor="_Toc66642021" w:history="1">
        <w:r w:rsidRPr="00DC58CA">
          <w:rPr>
            <w:rStyle w:val="Hypertextovodkaz"/>
            <w:noProof/>
          </w:rPr>
          <w:t>1 Imunitný systém</w:t>
        </w:r>
        <w:r>
          <w:rPr>
            <w:noProof/>
            <w:webHidden/>
          </w:rPr>
          <w:tab/>
        </w:r>
        <w:r>
          <w:rPr>
            <w:noProof/>
            <w:webHidden/>
          </w:rPr>
          <w:fldChar w:fldCharType="begin"/>
        </w:r>
        <w:r>
          <w:rPr>
            <w:noProof/>
            <w:webHidden/>
          </w:rPr>
          <w:instrText xml:space="preserve"> PAGEREF _Toc66642021 \h </w:instrText>
        </w:r>
        <w:r>
          <w:rPr>
            <w:noProof/>
            <w:webHidden/>
          </w:rPr>
        </w:r>
        <w:r>
          <w:rPr>
            <w:noProof/>
            <w:webHidden/>
          </w:rPr>
          <w:fldChar w:fldCharType="separate"/>
        </w:r>
        <w:r>
          <w:rPr>
            <w:noProof/>
            <w:webHidden/>
          </w:rPr>
          <w:t>5</w:t>
        </w:r>
        <w:r>
          <w:rPr>
            <w:noProof/>
            <w:webHidden/>
          </w:rPr>
          <w:fldChar w:fldCharType="end"/>
        </w:r>
      </w:hyperlink>
    </w:p>
    <w:p w:rsidR="00382CAA" w:rsidRDefault="00382CAA">
      <w:pPr>
        <w:pStyle w:val="Obsah1"/>
        <w:tabs>
          <w:tab w:val="right" w:leader="dot" w:pos="8777"/>
        </w:tabs>
        <w:rPr>
          <w:rFonts w:asciiTheme="minorHAnsi" w:eastAsiaTheme="minorEastAsia" w:hAnsiTheme="minorHAnsi" w:cstheme="minorBidi"/>
          <w:noProof/>
        </w:rPr>
      </w:pPr>
      <w:hyperlink w:anchor="_Toc66642022" w:history="1">
        <w:r w:rsidRPr="00DC58CA">
          <w:rPr>
            <w:rStyle w:val="Hypertextovodkaz"/>
            <w:noProof/>
          </w:rPr>
          <w:t>1.1 Imunoglobulíny</w:t>
        </w:r>
        <w:r>
          <w:rPr>
            <w:noProof/>
            <w:webHidden/>
          </w:rPr>
          <w:tab/>
        </w:r>
        <w:r>
          <w:rPr>
            <w:noProof/>
            <w:webHidden/>
          </w:rPr>
          <w:fldChar w:fldCharType="begin"/>
        </w:r>
        <w:r>
          <w:rPr>
            <w:noProof/>
            <w:webHidden/>
          </w:rPr>
          <w:instrText xml:space="preserve"> PAGEREF _Toc66642022 \h </w:instrText>
        </w:r>
        <w:r>
          <w:rPr>
            <w:noProof/>
            <w:webHidden/>
          </w:rPr>
        </w:r>
        <w:r>
          <w:rPr>
            <w:noProof/>
            <w:webHidden/>
          </w:rPr>
          <w:fldChar w:fldCharType="separate"/>
        </w:r>
        <w:r>
          <w:rPr>
            <w:noProof/>
            <w:webHidden/>
          </w:rPr>
          <w:t>6</w:t>
        </w:r>
        <w:r>
          <w:rPr>
            <w:noProof/>
            <w:webHidden/>
          </w:rPr>
          <w:fldChar w:fldCharType="end"/>
        </w:r>
      </w:hyperlink>
    </w:p>
    <w:p w:rsidR="00382CAA" w:rsidRDefault="00382CAA">
      <w:pPr>
        <w:pStyle w:val="Obsah1"/>
        <w:tabs>
          <w:tab w:val="right" w:leader="dot" w:pos="8777"/>
        </w:tabs>
        <w:rPr>
          <w:rFonts w:asciiTheme="minorHAnsi" w:eastAsiaTheme="minorEastAsia" w:hAnsiTheme="minorHAnsi" w:cstheme="minorBidi"/>
          <w:noProof/>
        </w:rPr>
      </w:pPr>
      <w:hyperlink w:anchor="_Toc66642023" w:history="1">
        <w:r w:rsidRPr="00DC58CA">
          <w:rPr>
            <w:rStyle w:val="Hypertextovodkaz"/>
            <w:noProof/>
          </w:rPr>
          <w:t>1. 2 Protilátka</w:t>
        </w:r>
        <w:r>
          <w:rPr>
            <w:noProof/>
            <w:webHidden/>
          </w:rPr>
          <w:tab/>
        </w:r>
        <w:r>
          <w:rPr>
            <w:noProof/>
            <w:webHidden/>
          </w:rPr>
          <w:fldChar w:fldCharType="begin"/>
        </w:r>
        <w:r>
          <w:rPr>
            <w:noProof/>
            <w:webHidden/>
          </w:rPr>
          <w:instrText xml:space="preserve"> PAGEREF _Toc66642023 \h </w:instrText>
        </w:r>
        <w:r>
          <w:rPr>
            <w:noProof/>
            <w:webHidden/>
          </w:rPr>
        </w:r>
        <w:r>
          <w:rPr>
            <w:noProof/>
            <w:webHidden/>
          </w:rPr>
          <w:fldChar w:fldCharType="separate"/>
        </w:r>
        <w:r>
          <w:rPr>
            <w:noProof/>
            <w:webHidden/>
          </w:rPr>
          <w:t>8</w:t>
        </w:r>
        <w:r>
          <w:rPr>
            <w:noProof/>
            <w:webHidden/>
          </w:rPr>
          <w:fldChar w:fldCharType="end"/>
        </w:r>
      </w:hyperlink>
    </w:p>
    <w:p w:rsidR="00382CAA" w:rsidRDefault="00382CAA">
      <w:pPr>
        <w:pStyle w:val="Obsah1"/>
        <w:tabs>
          <w:tab w:val="right" w:leader="dot" w:pos="8777"/>
        </w:tabs>
        <w:rPr>
          <w:rFonts w:asciiTheme="minorHAnsi" w:eastAsiaTheme="minorEastAsia" w:hAnsiTheme="minorHAnsi" w:cstheme="minorBidi"/>
          <w:noProof/>
        </w:rPr>
      </w:pPr>
      <w:hyperlink w:anchor="_Toc66642024" w:history="1">
        <w:r w:rsidRPr="00DC58CA">
          <w:rPr>
            <w:rStyle w:val="Hypertextovodkaz"/>
            <w:noProof/>
          </w:rPr>
          <w:t>2 Monoklonálne protilátky</w:t>
        </w:r>
        <w:r>
          <w:rPr>
            <w:noProof/>
            <w:webHidden/>
          </w:rPr>
          <w:tab/>
        </w:r>
        <w:r>
          <w:rPr>
            <w:noProof/>
            <w:webHidden/>
          </w:rPr>
          <w:fldChar w:fldCharType="begin"/>
        </w:r>
        <w:r>
          <w:rPr>
            <w:noProof/>
            <w:webHidden/>
          </w:rPr>
          <w:instrText xml:space="preserve"> PAGEREF _Toc66642024 \h </w:instrText>
        </w:r>
        <w:r>
          <w:rPr>
            <w:noProof/>
            <w:webHidden/>
          </w:rPr>
        </w:r>
        <w:r>
          <w:rPr>
            <w:noProof/>
            <w:webHidden/>
          </w:rPr>
          <w:fldChar w:fldCharType="separate"/>
        </w:r>
        <w:r>
          <w:rPr>
            <w:noProof/>
            <w:webHidden/>
          </w:rPr>
          <w:t>8</w:t>
        </w:r>
        <w:r>
          <w:rPr>
            <w:noProof/>
            <w:webHidden/>
          </w:rPr>
          <w:fldChar w:fldCharType="end"/>
        </w:r>
      </w:hyperlink>
    </w:p>
    <w:p w:rsidR="00382CAA" w:rsidRDefault="00382CAA">
      <w:pPr>
        <w:pStyle w:val="Obsah1"/>
        <w:tabs>
          <w:tab w:val="right" w:leader="dot" w:pos="8777"/>
        </w:tabs>
        <w:rPr>
          <w:rFonts w:asciiTheme="minorHAnsi" w:eastAsiaTheme="minorEastAsia" w:hAnsiTheme="minorHAnsi" w:cstheme="minorBidi"/>
          <w:noProof/>
        </w:rPr>
      </w:pPr>
      <w:hyperlink w:anchor="_Toc66642025" w:history="1">
        <w:r w:rsidRPr="00DC58CA">
          <w:rPr>
            <w:rStyle w:val="Hypertextovodkaz"/>
            <w:noProof/>
          </w:rPr>
          <w:t>2.1 História mAb</w:t>
        </w:r>
        <w:r>
          <w:rPr>
            <w:noProof/>
            <w:webHidden/>
          </w:rPr>
          <w:tab/>
        </w:r>
        <w:r>
          <w:rPr>
            <w:noProof/>
            <w:webHidden/>
          </w:rPr>
          <w:fldChar w:fldCharType="begin"/>
        </w:r>
        <w:r>
          <w:rPr>
            <w:noProof/>
            <w:webHidden/>
          </w:rPr>
          <w:instrText xml:space="preserve"> PAGEREF _Toc66642025 \h </w:instrText>
        </w:r>
        <w:r>
          <w:rPr>
            <w:noProof/>
            <w:webHidden/>
          </w:rPr>
        </w:r>
        <w:r>
          <w:rPr>
            <w:noProof/>
            <w:webHidden/>
          </w:rPr>
          <w:fldChar w:fldCharType="separate"/>
        </w:r>
        <w:r>
          <w:rPr>
            <w:noProof/>
            <w:webHidden/>
          </w:rPr>
          <w:t>9</w:t>
        </w:r>
        <w:r>
          <w:rPr>
            <w:noProof/>
            <w:webHidden/>
          </w:rPr>
          <w:fldChar w:fldCharType="end"/>
        </w:r>
      </w:hyperlink>
    </w:p>
    <w:p w:rsidR="00382CAA" w:rsidRDefault="00382CAA">
      <w:pPr>
        <w:pStyle w:val="Obsah1"/>
        <w:tabs>
          <w:tab w:val="right" w:leader="dot" w:pos="8777"/>
        </w:tabs>
        <w:rPr>
          <w:rFonts w:asciiTheme="minorHAnsi" w:eastAsiaTheme="minorEastAsia" w:hAnsiTheme="minorHAnsi" w:cstheme="minorBidi"/>
          <w:noProof/>
        </w:rPr>
      </w:pPr>
      <w:hyperlink w:anchor="_Toc66642026" w:history="1">
        <w:r w:rsidRPr="00DC58CA">
          <w:rPr>
            <w:rStyle w:val="Hypertextovodkaz"/>
            <w:noProof/>
          </w:rPr>
          <w:t>2.2 Problematika monoklonálnych protilátok</w:t>
        </w:r>
        <w:r>
          <w:rPr>
            <w:noProof/>
            <w:webHidden/>
          </w:rPr>
          <w:tab/>
        </w:r>
        <w:r>
          <w:rPr>
            <w:noProof/>
            <w:webHidden/>
          </w:rPr>
          <w:fldChar w:fldCharType="begin"/>
        </w:r>
        <w:r>
          <w:rPr>
            <w:noProof/>
            <w:webHidden/>
          </w:rPr>
          <w:instrText xml:space="preserve"> PAGEREF _Toc66642026 \h </w:instrText>
        </w:r>
        <w:r>
          <w:rPr>
            <w:noProof/>
            <w:webHidden/>
          </w:rPr>
        </w:r>
        <w:r>
          <w:rPr>
            <w:noProof/>
            <w:webHidden/>
          </w:rPr>
          <w:fldChar w:fldCharType="separate"/>
        </w:r>
        <w:r>
          <w:rPr>
            <w:noProof/>
            <w:webHidden/>
          </w:rPr>
          <w:t>10</w:t>
        </w:r>
        <w:r>
          <w:rPr>
            <w:noProof/>
            <w:webHidden/>
          </w:rPr>
          <w:fldChar w:fldCharType="end"/>
        </w:r>
      </w:hyperlink>
    </w:p>
    <w:p w:rsidR="00382CAA" w:rsidRDefault="00382CAA">
      <w:pPr>
        <w:pStyle w:val="Obsah1"/>
        <w:tabs>
          <w:tab w:val="right" w:leader="dot" w:pos="8777"/>
        </w:tabs>
        <w:rPr>
          <w:rFonts w:asciiTheme="minorHAnsi" w:eastAsiaTheme="minorEastAsia" w:hAnsiTheme="minorHAnsi" w:cstheme="minorBidi"/>
          <w:noProof/>
        </w:rPr>
      </w:pPr>
      <w:hyperlink w:anchor="_Toc66642027" w:history="1">
        <w:r w:rsidRPr="00DC58CA">
          <w:rPr>
            <w:rStyle w:val="Hypertextovodkaz"/>
            <w:noProof/>
          </w:rPr>
          <w:t>2.3 Mechanizmus účinku protilátok</w:t>
        </w:r>
        <w:r>
          <w:rPr>
            <w:noProof/>
            <w:webHidden/>
          </w:rPr>
          <w:tab/>
        </w:r>
        <w:r>
          <w:rPr>
            <w:noProof/>
            <w:webHidden/>
          </w:rPr>
          <w:fldChar w:fldCharType="begin"/>
        </w:r>
        <w:r>
          <w:rPr>
            <w:noProof/>
            <w:webHidden/>
          </w:rPr>
          <w:instrText xml:space="preserve"> PAGEREF _Toc66642027 \h </w:instrText>
        </w:r>
        <w:r>
          <w:rPr>
            <w:noProof/>
            <w:webHidden/>
          </w:rPr>
        </w:r>
        <w:r>
          <w:rPr>
            <w:noProof/>
            <w:webHidden/>
          </w:rPr>
          <w:fldChar w:fldCharType="separate"/>
        </w:r>
        <w:r>
          <w:rPr>
            <w:noProof/>
            <w:webHidden/>
          </w:rPr>
          <w:t>11</w:t>
        </w:r>
        <w:r>
          <w:rPr>
            <w:noProof/>
            <w:webHidden/>
          </w:rPr>
          <w:fldChar w:fldCharType="end"/>
        </w:r>
      </w:hyperlink>
    </w:p>
    <w:p w:rsidR="00382CAA" w:rsidRDefault="00382CAA">
      <w:pPr>
        <w:pStyle w:val="Obsah1"/>
        <w:tabs>
          <w:tab w:val="right" w:leader="dot" w:pos="8777"/>
        </w:tabs>
        <w:rPr>
          <w:rFonts w:asciiTheme="minorHAnsi" w:eastAsiaTheme="minorEastAsia" w:hAnsiTheme="minorHAnsi" w:cstheme="minorBidi"/>
          <w:noProof/>
        </w:rPr>
      </w:pPr>
      <w:hyperlink w:anchor="_Toc66642028" w:history="1">
        <w:r w:rsidRPr="00DC58CA">
          <w:rPr>
            <w:rStyle w:val="Hypertextovodkaz"/>
            <w:noProof/>
          </w:rPr>
          <w:t>2.4 Názvoslovie mAb</w:t>
        </w:r>
        <w:r>
          <w:rPr>
            <w:noProof/>
            <w:webHidden/>
          </w:rPr>
          <w:tab/>
        </w:r>
        <w:r>
          <w:rPr>
            <w:noProof/>
            <w:webHidden/>
          </w:rPr>
          <w:fldChar w:fldCharType="begin"/>
        </w:r>
        <w:r>
          <w:rPr>
            <w:noProof/>
            <w:webHidden/>
          </w:rPr>
          <w:instrText xml:space="preserve"> PAGEREF _Toc66642028 \h </w:instrText>
        </w:r>
        <w:r>
          <w:rPr>
            <w:noProof/>
            <w:webHidden/>
          </w:rPr>
        </w:r>
        <w:r>
          <w:rPr>
            <w:noProof/>
            <w:webHidden/>
          </w:rPr>
          <w:fldChar w:fldCharType="separate"/>
        </w:r>
        <w:r>
          <w:rPr>
            <w:noProof/>
            <w:webHidden/>
          </w:rPr>
          <w:t>12</w:t>
        </w:r>
        <w:r>
          <w:rPr>
            <w:noProof/>
            <w:webHidden/>
          </w:rPr>
          <w:fldChar w:fldCharType="end"/>
        </w:r>
      </w:hyperlink>
    </w:p>
    <w:p w:rsidR="00382CAA" w:rsidRDefault="00382CAA">
      <w:pPr>
        <w:pStyle w:val="Obsah1"/>
        <w:tabs>
          <w:tab w:val="right" w:leader="dot" w:pos="8777"/>
        </w:tabs>
        <w:rPr>
          <w:rFonts w:asciiTheme="minorHAnsi" w:eastAsiaTheme="minorEastAsia" w:hAnsiTheme="minorHAnsi" w:cstheme="minorBidi"/>
          <w:noProof/>
        </w:rPr>
      </w:pPr>
      <w:hyperlink w:anchor="_Toc66642029" w:history="1">
        <w:r w:rsidRPr="00DC58CA">
          <w:rPr>
            <w:rStyle w:val="Hypertextovodkaz"/>
            <w:noProof/>
          </w:rPr>
          <w:t>2.5 Príprava mAb</w:t>
        </w:r>
        <w:r>
          <w:rPr>
            <w:noProof/>
            <w:webHidden/>
          </w:rPr>
          <w:tab/>
        </w:r>
        <w:r>
          <w:rPr>
            <w:noProof/>
            <w:webHidden/>
          </w:rPr>
          <w:fldChar w:fldCharType="begin"/>
        </w:r>
        <w:r>
          <w:rPr>
            <w:noProof/>
            <w:webHidden/>
          </w:rPr>
          <w:instrText xml:space="preserve"> PAGEREF _Toc66642029 \h </w:instrText>
        </w:r>
        <w:r>
          <w:rPr>
            <w:noProof/>
            <w:webHidden/>
          </w:rPr>
        </w:r>
        <w:r>
          <w:rPr>
            <w:noProof/>
            <w:webHidden/>
          </w:rPr>
          <w:fldChar w:fldCharType="separate"/>
        </w:r>
        <w:r>
          <w:rPr>
            <w:noProof/>
            <w:webHidden/>
          </w:rPr>
          <w:t>12</w:t>
        </w:r>
        <w:r>
          <w:rPr>
            <w:noProof/>
            <w:webHidden/>
          </w:rPr>
          <w:fldChar w:fldCharType="end"/>
        </w:r>
      </w:hyperlink>
    </w:p>
    <w:p w:rsidR="00382CAA" w:rsidRDefault="00382CAA">
      <w:pPr>
        <w:pStyle w:val="Obsah1"/>
        <w:tabs>
          <w:tab w:val="right" w:leader="dot" w:pos="8777"/>
        </w:tabs>
        <w:rPr>
          <w:rFonts w:asciiTheme="minorHAnsi" w:eastAsiaTheme="minorEastAsia" w:hAnsiTheme="minorHAnsi" w:cstheme="minorBidi"/>
          <w:noProof/>
        </w:rPr>
      </w:pPr>
      <w:hyperlink w:anchor="_Toc66642030" w:history="1">
        <w:r w:rsidRPr="00DC58CA">
          <w:rPr>
            <w:rStyle w:val="Hypertextovodkaz"/>
            <w:noProof/>
          </w:rPr>
          <w:t>2.6 Rozdelenie mAb</w:t>
        </w:r>
        <w:r>
          <w:rPr>
            <w:noProof/>
            <w:webHidden/>
          </w:rPr>
          <w:tab/>
        </w:r>
        <w:r>
          <w:rPr>
            <w:noProof/>
            <w:webHidden/>
          </w:rPr>
          <w:fldChar w:fldCharType="begin"/>
        </w:r>
        <w:r>
          <w:rPr>
            <w:noProof/>
            <w:webHidden/>
          </w:rPr>
          <w:instrText xml:space="preserve"> PAGEREF _Toc66642030 \h </w:instrText>
        </w:r>
        <w:r>
          <w:rPr>
            <w:noProof/>
            <w:webHidden/>
          </w:rPr>
        </w:r>
        <w:r>
          <w:rPr>
            <w:noProof/>
            <w:webHidden/>
          </w:rPr>
          <w:fldChar w:fldCharType="separate"/>
        </w:r>
        <w:r>
          <w:rPr>
            <w:noProof/>
            <w:webHidden/>
          </w:rPr>
          <w:t>13</w:t>
        </w:r>
        <w:r>
          <w:rPr>
            <w:noProof/>
            <w:webHidden/>
          </w:rPr>
          <w:fldChar w:fldCharType="end"/>
        </w:r>
      </w:hyperlink>
    </w:p>
    <w:p w:rsidR="00382CAA" w:rsidRDefault="00382CAA">
      <w:pPr>
        <w:pStyle w:val="Obsah1"/>
        <w:tabs>
          <w:tab w:val="right" w:leader="dot" w:pos="8777"/>
        </w:tabs>
        <w:rPr>
          <w:rFonts w:asciiTheme="minorHAnsi" w:eastAsiaTheme="minorEastAsia" w:hAnsiTheme="minorHAnsi" w:cstheme="minorBidi"/>
          <w:noProof/>
        </w:rPr>
      </w:pPr>
      <w:hyperlink w:anchor="_Toc66642031" w:history="1">
        <w:r w:rsidRPr="00DC58CA">
          <w:rPr>
            <w:rStyle w:val="Hypertextovodkaz"/>
            <w:noProof/>
          </w:rPr>
          <w:t>2.7 Terapeutické využitie mAb</w:t>
        </w:r>
        <w:r>
          <w:rPr>
            <w:noProof/>
            <w:webHidden/>
          </w:rPr>
          <w:tab/>
        </w:r>
        <w:r>
          <w:rPr>
            <w:noProof/>
            <w:webHidden/>
          </w:rPr>
          <w:fldChar w:fldCharType="begin"/>
        </w:r>
        <w:r>
          <w:rPr>
            <w:noProof/>
            <w:webHidden/>
          </w:rPr>
          <w:instrText xml:space="preserve"> PAGEREF _Toc66642031 \h </w:instrText>
        </w:r>
        <w:r>
          <w:rPr>
            <w:noProof/>
            <w:webHidden/>
          </w:rPr>
        </w:r>
        <w:r>
          <w:rPr>
            <w:noProof/>
            <w:webHidden/>
          </w:rPr>
          <w:fldChar w:fldCharType="separate"/>
        </w:r>
        <w:r>
          <w:rPr>
            <w:noProof/>
            <w:webHidden/>
          </w:rPr>
          <w:t>14</w:t>
        </w:r>
        <w:r>
          <w:rPr>
            <w:noProof/>
            <w:webHidden/>
          </w:rPr>
          <w:fldChar w:fldCharType="end"/>
        </w:r>
      </w:hyperlink>
    </w:p>
    <w:p w:rsidR="00382CAA" w:rsidRDefault="00382CAA">
      <w:pPr>
        <w:pStyle w:val="Obsah1"/>
        <w:tabs>
          <w:tab w:val="right" w:leader="dot" w:pos="8777"/>
        </w:tabs>
        <w:rPr>
          <w:rFonts w:asciiTheme="minorHAnsi" w:eastAsiaTheme="minorEastAsia" w:hAnsiTheme="minorHAnsi" w:cstheme="minorBidi"/>
          <w:noProof/>
        </w:rPr>
      </w:pPr>
      <w:hyperlink w:anchor="_Toc66642032" w:history="1">
        <w:r w:rsidRPr="00DC58CA">
          <w:rPr>
            <w:rStyle w:val="Hypertextovodkaz"/>
            <w:noProof/>
          </w:rPr>
          <w:t>2.8 Cielená liečba v onkológii</w:t>
        </w:r>
        <w:r>
          <w:rPr>
            <w:noProof/>
            <w:webHidden/>
          </w:rPr>
          <w:tab/>
        </w:r>
        <w:r>
          <w:rPr>
            <w:noProof/>
            <w:webHidden/>
          </w:rPr>
          <w:fldChar w:fldCharType="begin"/>
        </w:r>
        <w:r>
          <w:rPr>
            <w:noProof/>
            <w:webHidden/>
          </w:rPr>
          <w:instrText xml:space="preserve"> PAGEREF _Toc66642032 \h </w:instrText>
        </w:r>
        <w:r>
          <w:rPr>
            <w:noProof/>
            <w:webHidden/>
          </w:rPr>
        </w:r>
        <w:r>
          <w:rPr>
            <w:noProof/>
            <w:webHidden/>
          </w:rPr>
          <w:fldChar w:fldCharType="separate"/>
        </w:r>
        <w:r>
          <w:rPr>
            <w:noProof/>
            <w:webHidden/>
          </w:rPr>
          <w:t>15</w:t>
        </w:r>
        <w:r>
          <w:rPr>
            <w:noProof/>
            <w:webHidden/>
          </w:rPr>
          <w:fldChar w:fldCharType="end"/>
        </w:r>
      </w:hyperlink>
    </w:p>
    <w:p w:rsidR="00382CAA" w:rsidRDefault="00382CAA">
      <w:pPr>
        <w:pStyle w:val="Obsah1"/>
        <w:tabs>
          <w:tab w:val="right" w:leader="dot" w:pos="8777"/>
        </w:tabs>
        <w:rPr>
          <w:rFonts w:asciiTheme="minorHAnsi" w:eastAsiaTheme="minorEastAsia" w:hAnsiTheme="minorHAnsi" w:cstheme="minorBidi"/>
          <w:noProof/>
        </w:rPr>
      </w:pPr>
      <w:hyperlink w:anchor="_Toc66642033" w:history="1">
        <w:r w:rsidRPr="00DC58CA">
          <w:rPr>
            <w:rStyle w:val="Hypertextovodkaz"/>
            <w:noProof/>
          </w:rPr>
          <w:t>Záver</w:t>
        </w:r>
        <w:r>
          <w:rPr>
            <w:noProof/>
            <w:webHidden/>
          </w:rPr>
          <w:tab/>
        </w:r>
        <w:r>
          <w:rPr>
            <w:noProof/>
            <w:webHidden/>
          </w:rPr>
          <w:fldChar w:fldCharType="begin"/>
        </w:r>
        <w:r>
          <w:rPr>
            <w:noProof/>
            <w:webHidden/>
          </w:rPr>
          <w:instrText xml:space="preserve"> PAGEREF _Toc66642033 \h </w:instrText>
        </w:r>
        <w:r>
          <w:rPr>
            <w:noProof/>
            <w:webHidden/>
          </w:rPr>
        </w:r>
        <w:r>
          <w:rPr>
            <w:noProof/>
            <w:webHidden/>
          </w:rPr>
          <w:fldChar w:fldCharType="separate"/>
        </w:r>
        <w:r>
          <w:rPr>
            <w:noProof/>
            <w:webHidden/>
          </w:rPr>
          <w:t>17</w:t>
        </w:r>
        <w:r>
          <w:rPr>
            <w:noProof/>
            <w:webHidden/>
          </w:rPr>
          <w:fldChar w:fldCharType="end"/>
        </w:r>
      </w:hyperlink>
    </w:p>
    <w:p w:rsidR="00382CAA" w:rsidRDefault="00382CAA">
      <w:pPr>
        <w:pStyle w:val="Obsah1"/>
        <w:tabs>
          <w:tab w:val="right" w:leader="dot" w:pos="8777"/>
        </w:tabs>
        <w:rPr>
          <w:rFonts w:asciiTheme="minorHAnsi" w:eastAsiaTheme="minorEastAsia" w:hAnsiTheme="minorHAnsi" w:cstheme="minorBidi"/>
          <w:noProof/>
        </w:rPr>
      </w:pPr>
      <w:hyperlink w:anchor="_Toc66642034" w:history="1">
        <w:r w:rsidRPr="00DC58CA">
          <w:rPr>
            <w:rStyle w:val="Hypertextovodkaz"/>
            <w:noProof/>
          </w:rPr>
          <w:t>Zoznam použitej literatúry</w:t>
        </w:r>
        <w:r>
          <w:rPr>
            <w:noProof/>
            <w:webHidden/>
          </w:rPr>
          <w:tab/>
        </w:r>
        <w:r>
          <w:rPr>
            <w:noProof/>
            <w:webHidden/>
          </w:rPr>
          <w:fldChar w:fldCharType="begin"/>
        </w:r>
        <w:r>
          <w:rPr>
            <w:noProof/>
            <w:webHidden/>
          </w:rPr>
          <w:instrText xml:space="preserve"> PAGEREF _Toc66642034 \h </w:instrText>
        </w:r>
        <w:r>
          <w:rPr>
            <w:noProof/>
            <w:webHidden/>
          </w:rPr>
        </w:r>
        <w:r>
          <w:rPr>
            <w:noProof/>
            <w:webHidden/>
          </w:rPr>
          <w:fldChar w:fldCharType="separate"/>
        </w:r>
        <w:r>
          <w:rPr>
            <w:noProof/>
            <w:webHidden/>
          </w:rPr>
          <w:t>18</w:t>
        </w:r>
        <w:r>
          <w:rPr>
            <w:noProof/>
            <w:webHidden/>
          </w:rPr>
          <w:fldChar w:fldCharType="end"/>
        </w:r>
      </w:hyperlink>
    </w:p>
    <w:p w:rsidR="00A16666" w:rsidRDefault="00A16666">
      <w:r>
        <w:rPr>
          <w:b/>
          <w:bCs/>
          <w:lang w:val="cs-CZ"/>
        </w:rPr>
        <w:fldChar w:fldCharType="end"/>
      </w:r>
    </w:p>
    <w:p w:rsidR="00A16666" w:rsidRDefault="00A16666" w:rsidP="00A16666">
      <w:pPr>
        <w:jc w:val="both"/>
      </w:pPr>
    </w:p>
    <w:p w:rsidR="00A16666" w:rsidRDefault="00A16666" w:rsidP="00A16666">
      <w:pPr>
        <w:jc w:val="both"/>
      </w:pPr>
    </w:p>
    <w:p w:rsidR="00A16666" w:rsidRPr="00A16666" w:rsidRDefault="00A16666" w:rsidP="00A16666">
      <w:pPr>
        <w:jc w:val="both"/>
      </w:pPr>
    </w:p>
    <w:p w:rsidR="00F33FEF" w:rsidRDefault="00F33FEF" w:rsidP="007B79EA">
      <w:pPr>
        <w:spacing w:line="276" w:lineRule="auto"/>
      </w:pPr>
    </w:p>
    <w:p w:rsidR="00A16666" w:rsidRDefault="00A16666" w:rsidP="007B79EA">
      <w:pPr>
        <w:spacing w:line="276" w:lineRule="auto"/>
      </w:pPr>
    </w:p>
    <w:p w:rsidR="00A16666" w:rsidRDefault="00A16666" w:rsidP="007B79EA">
      <w:pPr>
        <w:spacing w:line="276" w:lineRule="auto"/>
      </w:pPr>
    </w:p>
    <w:p w:rsidR="00A16666" w:rsidRDefault="00A16666" w:rsidP="007B79EA">
      <w:pPr>
        <w:spacing w:line="276" w:lineRule="auto"/>
      </w:pPr>
    </w:p>
    <w:p w:rsidR="00A16666" w:rsidRDefault="00A16666" w:rsidP="007B79EA">
      <w:pPr>
        <w:spacing w:line="276" w:lineRule="auto"/>
      </w:pPr>
    </w:p>
    <w:p w:rsidR="00A16666" w:rsidRDefault="00A16666" w:rsidP="007B79EA">
      <w:pPr>
        <w:spacing w:line="276" w:lineRule="auto"/>
      </w:pPr>
    </w:p>
    <w:p w:rsidR="009E3248" w:rsidRDefault="009E3248" w:rsidP="009E3248">
      <w:pPr>
        <w:pStyle w:val="Nadpis1"/>
        <w:spacing w:before="0" w:line="360" w:lineRule="auto"/>
        <w:jc w:val="both"/>
        <w:rPr>
          <w:rFonts w:ascii="Times New Roman" w:hAnsi="Times New Roman"/>
          <w:sz w:val="24"/>
          <w:szCs w:val="24"/>
        </w:rPr>
      </w:pPr>
    </w:p>
    <w:p w:rsidR="009E3248" w:rsidRDefault="009E3248" w:rsidP="009E3248"/>
    <w:p w:rsidR="009E3248" w:rsidRDefault="009E3248" w:rsidP="009E3248"/>
    <w:p w:rsidR="009E3248" w:rsidRPr="009E3248" w:rsidRDefault="009E3248" w:rsidP="009E3248"/>
    <w:p w:rsidR="009E3248" w:rsidRDefault="009E3248" w:rsidP="009E3248">
      <w:pPr>
        <w:pStyle w:val="Nadpis1"/>
        <w:spacing w:before="0" w:line="360" w:lineRule="auto"/>
        <w:jc w:val="both"/>
        <w:rPr>
          <w:rFonts w:ascii="Times New Roman" w:hAnsi="Times New Roman"/>
          <w:sz w:val="24"/>
          <w:szCs w:val="24"/>
        </w:rPr>
      </w:pPr>
    </w:p>
    <w:p w:rsidR="009E3248" w:rsidRDefault="009E3248" w:rsidP="009E3248">
      <w:pPr>
        <w:pStyle w:val="Nadpis1"/>
        <w:spacing w:before="0" w:line="360" w:lineRule="auto"/>
        <w:jc w:val="both"/>
        <w:rPr>
          <w:rFonts w:ascii="Times New Roman" w:hAnsi="Times New Roman"/>
          <w:sz w:val="24"/>
          <w:szCs w:val="24"/>
        </w:rPr>
      </w:pPr>
    </w:p>
    <w:p w:rsidR="009E3248" w:rsidRDefault="009E3248" w:rsidP="009E3248"/>
    <w:p w:rsidR="009E3248" w:rsidRDefault="009E3248" w:rsidP="009E3248"/>
    <w:p w:rsidR="009E3248" w:rsidRDefault="009E3248" w:rsidP="009E3248"/>
    <w:p w:rsidR="009E3248" w:rsidRDefault="009E3248" w:rsidP="009E3248">
      <w:pPr>
        <w:pStyle w:val="Nadpis1"/>
      </w:pPr>
    </w:p>
    <w:p w:rsidR="00F33FEF" w:rsidRDefault="00F33FEF" w:rsidP="007B79EA">
      <w:pPr>
        <w:spacing w:line="276" w:lineRule="auto"/>
      </w:pPr>
    </w:p>
    <w:p w:rsidR="00F33FEF" w:rsidRDefault="00F33FEF" w:rsidP="007B79EA">
      <w:pPr>
        <w:spacing w:line="276" w:lineRule="auto"/>
      </w:pPr>
    </w:p>
    <w:p w:rsidR="009E3248" w:rsidRDefault="009E3248" w:rsidP="007B79EA">
      <w:pPr>
        <w:spacing w:line="276" w:lineRule="auto"/>
      </w:pPr>
    </w:p>
    <w:p w:rsidR="009E3248" w:rsidRDefault="009E3248" w:rsidP="009E3248">
      <w:pPr>
        <w:pStyle w:val="Nadpis1"/>
        <w:spacing w:before="0" w:line="360" w:lineRule="auto"/>
        <w:jc w:val="both"/>
        <w:rPr>
          <w:rFonts w:ascii="Times New Roman" w:hAnsi="Times New Roman"/>
          <w:sz w:val="24"/>
          <w:szCs w:val="24"/>
        </w:rPr>
      </w:pPr>
      <w:bookmarkStart w:id="0" w:name="_Toc66642020"/>
      <w:r>
        <w:rPr>
          <w:rFonts w:ascii="Times New Roman" w:hAnsi="Times New Roman"/>
          <w:sz w:val="24"/>
          <w:szCs w:val="24"/>
        </w:rPr>
        <w:lastRenderedPageBreak/>
        <w:t>Úvod</w:t>
      </w:r>
      <w:bookmarkEnd w:id="0"/>
    </w:p>
    <w:p w:rsidR="009E3248" w:rsidRDefault="009E3248" w:rsidP="009E3248"/>
    <w:p w:rsidR="009E3248" w:rsidRDefault="009E3248" w:rsidP="009E3248">
      <w:pPr>
        <w:spacing w:line="360" w:lineRule="auto"/>
        <w:ind w:firstLine="708"/>
        <w:jc w:val="both"/>
      </w:pPr>
      <w:r>
        <w:t>Monoklonálne protilátky predstavujú v súčasnosti jeden z najvyšších stupňov farmakoterapie. Aplikujú sa na početné oblasti, ktoré zahŕňajú najmä onkologické, autoimunitné, neurologické, dermatologické a gastrointestinálne poruchy. Zároveň sú predmetom ďalšieho výskumu ich potenciálneho využitia.</w:t>
      </w:r>
    </w:p>
    <w:p w:rsidR="009E3248" w:rsidRDefault="009E3248" w:rsidP="009E3248">
      <w:pPr>
        <w:spacing w:line="360" w:lineRule="auto"/>
      </w:pPr>
      <w:r>
        <w:tab/>
        <w:t xml:space="preserve">Cieľom práce je spoznať monoklonálne protilátky a ich využitie vo vede, výskume a v medicíne. </w:t>
      </w:r>
      <w:r>
        <w:t xml:space="preserve">Tieto protilátky sa stali neodmysliteľnou zložkou terapie. </w:t>
      </w:r>
    </w:p>
    <w:p w:rsidR="009E3248" w:rsidRDefault="009E3248" w:rsidP="009E3248">
      <w:pPr>
        <w:pStyle w:val="Nadpis1"/>
      </w:pPr>
    </w:p>
    <w:p w:rsidR="009E3248" w:rsidRDefault="009E3248" w:rsidP="009E3248"/>
    <w:p w:rsidR="009E3248" w:rsidRDefault="009E3248" w:rsidP="009E3248"/>
    <w:p w:rsidR="009E3248" w:rsidRDefault="009E3248" w:rsidP="009E3248"/>
    <w:p w:rsidR="009E3248" w:rsidRDefault="009E3248" w:rsidP="009E3248"/>
    <w:p w:rsidR="009E3248" w:rsidRDefault="009E3248" w:rsidP="009E3248"/>
    <w:p w:rsidR="009E3248" w:rsidRDefault="009E3248" w:rsidP="009E3248"/>
    <w:p w:rsidR="009E3248" w:rsidRDefault="009E3248" w:rsidP="009E3248"/>
    <w:p w:rsidR="009E3248" w:rsidRDefault="009E3248" w:rsidP="009E3248"/>
    <w:p w:rsidR="009E3248" w:rsidRDefault="009E3248" w:rsidP="009E3248"/>
    <w:p w:rsidR="009E3248" w:rsidRDefault="009E3248" w:rsidP="009E3248"/>
    <w:p w:rsidR="009E3248" w:rsidRDefault="009E3248" w:rsidP="009E3248"/>
    <w:p w:rsidR="009E3248" w:rsidRDefault="009E3248" w:rsidP="009E3248"/>
    <w:p w:rsidR="009E3248" w:rsidRDefault="009E3248" w:rsidP="009E3248"/>
    <w:p w:rsidR="009E3248" w:rsidRDefault="009E3248" w:rsidP="009E3248"/>
    <w:p w:rsidR="009E3248" w:rsidRDefault="009E3248" w:rsidP="009E3248"/>
    <w:p w:rsidR="009E3248" w:rsidRDefault="009E3248" w:rsidP="009E3248"/>
    <w:p w:rsidR="009E3248" w:rsidRDefault="009E3248" w:rsidP="009E3248"/>
    <w:p w:rsidR="009E3248" w:rsidRDefault="009E3248" w:rsidP="009E3248"/>
    <w:p w:rsidR="009E3248" w:rsidRDefault="009E3248" w:rsidP="009E3248"/>
    <w:p w:rsidR="009E3248" w:rsidRDefault="009E3248" w:rsidP="009E3248"/>
    <w:p w:rsidR="009E3248" w:rsidRDefault="009E3248" w:rsidP="009E3248"/>
    <w:p w:rsidR="009E3248" w:rsidRDefault="009E3248" w:rsidP="009E3248"/>
    <w:p w:rsidR="009E3248" w:rsidRDefault="009E3248" w:rsidP="009E3248"/>
    <w:p w:rsidR="009E3248" w:rsidRDefault="009E3248" w:rsidP="009E3248"/>
    <w:p w:rsidR="009E3248" w:rsidRDefault="009E3248" w:rsidP="009E3248"/>
    <w:p w:rsidR="009E3248" w:rsidRDefault="009E3248" w:rsidP="009E3248"/>
    <w:p w:rsidR="009E3248" w:rsidRDefault="009E3248" w:rsidP="009E3248"/>
    <w:p w:rsidR="009E3248" w:rsidRDefault="009E3248" w:rsidP="009E3248"/>
    <w:p w:rsidR="009E3248" w:rsidRDefault="009E3248" w:rsidP="009E3248"/>
    <w:p w:rsidR="009E3248" w:rsidRDefault="009E3248" w:rsidP="009E3248"/>
    <w:p w:rsidR="009E3248" w:rsidRDefault="009E3248" w:rsidP="009E3248"/>
    <w:p w:rsidR="009E3248" w:rsidRDefault="009E3248" w:rsidP="009E3248"/>
    <w:p w:rsidR="009E3248" w:rsidRDefault="009E3248" w:rsidP="009E3248"/>
    <w:p w:rsidR="009E3248" w:rsidRDefault="009E3248" w:rsidP="009E3248"/>
    <w:p w:rsidR="009E3248" w:rsidRPr="009E3248" w:rsidRDefault="009E3248" w:rsidP="009E3248"/>
    <w:p w:rsidR="00B925BE" w:rsidRDefault="00FC0A86" w:rsidP="009E3248">
      <w:pPr>
        <w:pStyle w:val="Nadpis1"/>
        <w:spacing w:line="360" w:lineRule="auto"/>
        <w:rPr>
          <w:b w:val="0"/>
        </w:rPr>
      </w:pPr>
      <w:bookmarkStart w:id="1" w:name="_Toc66642021"/>
      <w:r>
        <w:lastRenderedPageBreak/>
        <w:t xml:space="preserve">1 </w:t>
      </w:r>
      <w:r w:rsidR="00B925BE">
        <w:t>Imunitný systém</w:t>
      </w:r>
      <w:bookmarkEnd w:id="1"/>
      <w:r w:rsidR="00B925BE">
        <w:rPr>
          <w:b w:val="0"/>
        </w:rPr>
        <w:tab/>
      </w:r>
    </w:p>
    <w:p w:rsidR="00B925BE" w:rsidRDefault="00253FC6" w:rsidP="00FC0A86">
      <w:pPr>
        <w:spacing w:line="360" w:lineRule="auto"/>
        <w:ind w:firstLine="708"/>
        <w:jc w:val="both"/>
      </w:pPr>
      <w:r w:rsidRPr="00253FC6">
        <w:t xml:space="preserve">Je komplex molekúl, buniek, tkanív alebo orgánov, ktoré spoločne zaisťujú imunitu alebo </w:t>
      </w:r>
      <w:r w:rsidR="00B925BE">
        <w:t>ochranu</w:t>
      </w:r>
      <w:r w:rsidRPr="00253FC6">
        <w:t xml:space="preserve"> pred cudzím organizmom. Fyziologickou funkciou imunitného systému je obrana organizmu človeka voči infekčným agensom, ktorými sú mikroorganizmy, parazity, baktérie. Ako definícia imunity sa rozumie reakcia na cudzorodé substancie, vrátane mikroorganizmov, makromolekúl, proteínov, polysacharidov, bez ohľadu na fyziologický a patologický dôsledok danej reakcie. Vyjadruje schopnosť organizmu reagov</w:t>
      </w:r>
      <w:r w:rsidR="00B925BE">
        <w:t>ať na antigén imunitnou odpoveďou, ktorej výsledkom je jeho l</w:t>
      </w:r>
      <w:r w:rsidRPr="00253FC6">
        <w:t>ikvidácia</w:t>
      </w:r>
      <w:r w:rsidR="00B925BE">
        <w:t xml:space="preserve">. </w:t>
      </w:r>
      <w:r w:rsidR="00B925BE" w:rsidRPr="00772406">
        <w:t>(Abbas et all., 2007)</w:t>
      </w:r>
    </w:p>
    <w:p w:rsidR="00253FC6" w:rsidRDefault="00253FC6" w:rsidP="00FC0A86">
      <w:pPr>
        <w:spacing w:line="360" w:lineRule="auto"/>
        <w:ind w:firstLine="708"/>
        <w:jc w:val="both"/>
      </w:pPr>
      <w:r w:rsidRPr="00253FC6">
        <w:t xml:space="preserve">Imunitný systém </w:t>
      </w:r>
      <w:r w:rsidR="00B925BE">
        <w:t>predstavuje z morfologického hľ</w:t>
      </w:r>
      <w:r w:rsidRPr="00253FC6">
        <w:t xml:space="preserve">adiska difúzny orgán, ktorý u dospelého človeka váži približne I kg. Patrí k jedným zo základných homeostatických mechanizmov organizmu. Jednou z jeho úloh je zabezpečovanie integrity organizmu rozpoznávaním škodlivín vonkajšieho a vnútorného pôvodu ako aj ochranou organizmu voči nim. </w:t>
      </w:r>
      <w:r w:rsidR="005A0248">
        <w:t>(Hoř</w:t>
      </w:r>
      <w:r w:rsidR="00B925BE" w:rsidRPr="00B925BE">
        <w:t>ejší a kol., 2009)</w:t>
      </w:r>
    </w:p>
    <w:p w:rsidR="00B925BE" w:rsidRDefault="00B925BE" w:rsidP="00FC0A86">
      <w:pPr>
        <w:spacing w:line="360" w:lineRule="auto"/>
        <w:jc w:val="both"/>
      </w:pPr>
      <w:r>
        <w:t>Tab. č. 1. Funkcie imunitného systému</w:t>
      </w:r>
      <w:r w:rsidRPr="00B925BE">
        <w:t xml:space="preserve"> </w:t>
      </w:r>
      <w:r w:rsidR="005A0248" w:rsidRPr="00772406">
        <w:t>(Hoř</w:t>
      </w:r>
      <w:r w:rsidRPr="00772406">
        <w:t>ejší a kol., 2009)</w:t>
      </w:r>
    </w:p>
    <w:p w:rsidR="00B925BE" w:rsidRDefault="00B925BE" w:rsidP="00B925BE">
      <w:pPr>
        <w:rPr>
          <w:b/>
        </w:rPr>
      </w:pPr>
    </w:p>
    <w:tbl>
      <w:tblPr>
        <w:tblStyle w:val="Mkatabulky"/>
        <w:tblW w:w="0" w:type="auto"/>
        <w:tblBorders>
          <w:top w:val="single" w:sz="18" w:space="0" w:color="FFFFFF" w:themeColor="background1"/>
          <w:left w:val="single" w:sz="18" w:space="0" w:color="FFFFFF" w:themeColor="background1"/>
          <w:bottom w:val="single" w:sz="18" w:space="0" w:color="FFFFFF" w:themeColor="background1"/>
          <w:right w:val="single" w:sz="18" w:space="0" w:color="FFFFFF" w:themeColor="background1"/>
          <w:insideH w:val="single" w:sz="18" w:space="0" w:color="FFFFFF" w:themeColor="background1"/>
          <w:insideV w:val="single" w:sz="18" w:space="0" w:color="FFFFFF" w:themeColor="background1"/>
        </w:tblBorders>
        <w:shd w:val="clear" w:color="auto" w:fill="95B3D7" w:themeFill="accent1" w:themeFillTint="99"/>
        <w:tblLook w:val="04A0" w:firstRow="1" w:lastRow="0" w:firstColumn="1" w:lastColumn="0" w:noHBand="0" w:noVBand="1"/>
      </w:tblPr>
      <w:tblGrid>
        <w:gridCol w:w="4498"/>
        <w:gridCol w:w="4505"/>
      </w:tblGrid>
      <w:tr w:rsidR="00B925BE" w:rsidTr="00B925BE">
        <w:tc>
          <w:tcPr>
            <w:tcW w:w="4605" w:type="dxa"/>
            <w:shd w:val="clear" w:color="auto" w:fill="95B3D7" w:themeFill="accent1" w:themeFillTint="99"/>
          </w:tcPr>
          <w:p w:rsidR="00B925BE" w:rsidRDefault="00B925BE" w:rsidP="00B925BE">
            <w:pPr>
              <w:spacing w:line="360" w:lineRule="auto"/>
              <w:jc w:val="center"/>
            </w:pPr>
            <w:r>
              <w:t>1. Obranyschopnosť</w:t>
            </w:r>
          </w:p>
        </w:tc>
        <w:tc>
          <w:tcPr>
            <w:tcW w:w="4605" w:type="dxa"/>
            <w:shd w:val="clear" w:color="auto" w:fill="95B3D7" w:themeFill="accent1" w:themeFillTint="99"/>
          </w:tcPr>
          <w:p w:rsidR="00B925BE" w:rsidRDefault="00B925BE" w:rsidP="00B925BE">
            <w:pPr>
              <w:spacing w:line="360" w:lineRule="auto"/>
              <w:jc w:val="center"/>
            </w:pPr>
            <w:r>
              <w:t>Ochrana organizmu pred patogénnymi mikroorganizmami, ich toxickými vplyvmi a produktmi. Rozpoznáva vonkajšie škodliviny.</w:t>
            </w:r>
          </w:p>
        </w:tc>
      </w:tr>
      <w:tr w:rsidR="00B925BE" w:rsidTr="00B925BE">
        <w:tc>
          <w:tcPr>
            <w:tcW w:w="4605" w:type="dxa"/>
            <w:shd w:val="clear" w:color="auto" w:fill="365F91" w:themeFill="accent1" w:themeFillShade="BF"/>
          </w:tcPr>
          <w:p w:rsidR="00B925BE" w:rsidRDefault="00B925BE" w:rsidP="00B925BE">
            <w:pPr>
              <w:spacing w:line="360" w:lineRule="auto"/>
              <w:jc w:val="center"/>
            </w:pPr>
            <w:r>
              <w:t>2. Autotolerancia</w:t>
            </w:r>
          </w:p>
        </w:tc>
        <w:tc>
          <w:tcPr>
            <w:tcW w:w="4605" w:type="dxa"/>
            <w:shd w:val="clear" w:color="auto" w:fill="365F91" w:themeFill="accent1" w:themeFillShade="BF"/>
          </w:tcPr>
          <w:p w:rsidR="00B925BE" w:rsidRDefault="00B925BE" w:rsidP="00B925BE">
            <w:pPr>
              <w:spacing w:line="360" w:lineRule="auto"/>
              <w:jc w:val="center"/>
            </w:pPr>
            <w:r>
              <w:t>Imunitný systém rozpozná vlastné tkanivá organizmu a udržuje toleranciu voči nim.</w:t>
            </w:r>
          </w:p>
        </w:tc>
      </w:tr>
      <w:tr w:rsidR="00B925BE" w:rsidTr="00B925BE">
        <w:tc>
          <w:tcPr>
            <w:tcW w:w="4605" w:type="dxa"/>
            <w:shd w:val="clear" w:color="auto" w:fill="95B3D7" w:themeFill="accent1" w:themeFillTint="99"/>
          </w:tcPr>
          <w:p w:rsidR="00B925BE" w:rsidRDefault="00B925BE" w:rsidP="00B925BE">
            <w:pPr>
              <w:spacing w:line="360" w:lineRule="auto"/>
              <w:jc w:val="center"/>
            </w:pPr>
            <w:r>
              <w:t>3. Imunitný dohľad</w:t>
            </w:r>
          </w:p>
        </w:tc>
        <w:tc>
          <w:tcPr>
            <w:tcW w:w="4605" w:type="dxa"/>
            <w:shd w:val="clear" w:color="auto" w:fill="95B3D7" w:themeFill="accent1" w:themeFillTint="99"/>
          </w:tcPr>
          <w:p w:rsidR="00B925BE" w:rsidRDefault="00B925BE" w:rsidP="00B925BE">
            <w:pPr>
              <w:spacing w:line="360" w:lineRule="auto"/>
              <w:jc w:val="center"/>
            </w:pPr>
            <w:r>
              <w:t>Imunitný systém odstraňuje priebežne staré,poškodené a zmutované bunky. Rozpoznáva vnútorné škodliviny.</w:t>
            </w:r>
          </w:p>
        </w:tc>
      </w:tr>
    </w:tbl>
    <w:p w:rsidR="00B925BE" w:rsidRDefault="00B925BE" w:rsidP="00B925BE"/>
    <w:p w:rsidR="00885359" w:rsidRPr="00772406" w:rsidRDefault="00B925BE" w:rsidP="00885359">
      <w:pPr>
        <w:spacing w:line="360" w:lineRule="auto"/>
        <w:ind w:firstLine="708"/>
        <w:jc w:val="both"/>
      </w:pPr>
      <w:r>
        <w:t>Imunitu delíme na vrodenú - nešpecifickú a získanú - špecifickú. Obrana proti mikroorganizmom, cudzorodým látkam a škodlivinám je sprostredkovaná prostredníctvom skorej odpovede vrodenej imunity a neskoršou odpoveďou získanej imunity</w:t>
      </w:r>
      <w:r w:rsidR="00885359" w:rsidRPr="00772406">
        <w:t>.</w:t>
      </w:r>
      <w:r w:rsidRPr="00772406">
        <w:t xml:space="preserve"> </w:t>
      </w:r>
      <w:r w:rsidR="00885359" w:rsidRPr="00772406">
        <w:t>(Abbas et all., 2007)</w:t>
      </w:r>
    </w:p>
    <w:p w:rsidR="00B925BE" w:rsidRDefault="00B925BE" w:rsidP="00885359">
      <w:pPr>
        <w:spacing w:line="360" w:lineRule="auto"/>
        <w:ind w:firstLine="708"/>
        <w:jc w:val="both"/>
      </w:pPr>
      <w:r w:rsidRPr="00885359">
        <w:rPr>
          <w:i/>
          <w:u w:val="single"/>
        </w:rPr>
        <w:t>Vrodená imunita</w:t>
      </w:r>
      <w:r>
        <w:t xml:space="preserve"> zabezpečuje prvú líniu obrany organizmu voči mikroorganizmom. Umožňuje človeku brániť sa proti škodlivinám z vonkajšieho prostredia od narodenia. </w:t>
      </w:r>
      <w:r w:rsidRPr="00772406">
        <w:t>(Buc, 2001</w:t>
      </w:r>
      <w:r w:rsidR="00885359" w:rsidRPr="00772406">
        <w:t>)</w:t>
      </w:r>
      <w:r w:rsidRPr="00772406">
        <w:t xml:space="preserve"> </w:t>
      </w:r>
    </w:p>
    <w:p w:rsidR="009E3248" w:rsidRPr="00772406" w:rsidRDefault="009E3248" w:rsidP="00885359">
      <w:pPr>
        <w:spacing w:line="360" w:lineRule="auto"/>
        <w:ind w:firstLine="708"/>
        <w:jc w:val="both"/>
      </w:pPr>
    </w:p>
    <w:p w:rsidR="00885359" w:rsidRDefault="00885359" w:rsidP="00885359">
      <w:pPr>
        <w:spacing w:line="360" w:lineRule="auto"/>
        <w:jc w:val="both"/>
      </w:pPr>
      <w:r>
        <w:lastRenderedPageBreak/>
        <w:t>Tab. č. 2 Zložky vrodenej imunity</w:t>
      </w:r>
      <w:r w:rsidR="00C13927">
        <w:t xml:space="preserve"> (Buc, 2001)</w:t>
      </w:r>
    </w:p>
    <w:tbl>
      <w:tblPr>
        <w:tblStyle w:val="Mkatabulky"/>
        <w:tblW w:w="0" w:type="auto"/>
        <w:tblBorders>
          <w:top w:val="single" w:sz="18" w:space="0" w:color="FFFFFF" w:themeColor="background1"/>
          <w:left w:val="single" w:sz="18" w:space="0" w:color="FFFFFF" w:themeColor="background1"/>
          <w:bottom w:val="single" w:sz="18" w:space="0" w:color="FFFFFF" w:themeColor="background1"/>
          <w:right w:val="single" w:sz="18" w:space="0" w:color="FFFFFF" w:themeColor="background1"/>
          <w:insideH w:val="single" w:sz="18" w:space="0" w:color="FFFFFF" w:themeColor="background1"/>
          <w:insideV w:val="single" w:sz="18" w:space="0" w:color="FFFFFF" w:themeColor="background1"/>
        </w:tblBorders>
        <w:shd w:val="clear" w:color="auto" w:fill="B8CCE4" w:themeFill="accent1" w:themeFillTint="66"/>
        <w:tblLook w:val="04A0" w:firstRow="1" w:lastRow="0" w:firstColumn="1" w:lastColumn="0" w:noHBand="0" w:noVBand="1"/>
      </w:tblPr>
      <w:tblGrid>
        <w:gridCol w:w="4493"/>
        <w:gridCol w:w="4510"/>
      </w:tblGrid>
      <w:tr w:rsidR="00885359" w:rsidTr="00885359">
        <w:tc>
          <w:tcPr>
            <w:tcW w:w="4605" w:type="dxa"/>
            <w:shd w:val="clear" w:color="auto" w:fill="B8CCE4" w:themeFill="accent1" w:themeFillTint="66"/>
          </w:tcPr>
          <w:p w:rsidR="00885359" w:rsidRDefault="00885359" w:rsidP="00885359">
            <w:pPr>
              <w:spacing w:line="360" w:lineRule="auto"/>
              <w:jc w:val="both"/>
            </w:pPr>
            <w:r>
              <w:t>1. Fyzikálne a chemické bariéry</w:t>
            </w:r>
          </w:p>
        </w:tc>
        <w:tc>
          <w:tcPr>
            <w:tcW w:w="4605" w:type="dxa"/>
            <w:shd w:val="clear" w:color="auto" w:fill="B8CCE4" w:themeFill="accent1" w:themeFillTint="66"/>
          </w:tcPr>
          <w:p w:rsidR="00885359" w:rsidRDefault="00885359" w:rsidP="00885359">
            <w:pPr>
              <w:spacing w:line="360" w:lineRule="auto"/>
              <w:jc w:val="both"/>
            </w:pPr>
            <w:r>
              <w:t>Epitelií, antimikrobiálne látky produkované epiteálnymi povrchmi</w:t>
            </w:r>
          </w:p>
        </w:tc>
      </w:tr>
      <w:tr w:rsidR="00885359" w:rsidTr="00885359">
        <w:tc>
          <w:tcPr>
            <w:tcW w:w="4605" w:type="dxa"/>
            <w:shd w:val="clear" w:color="auto" w:fill="95B3D7" w:themeFill="accent1" w:themeFillTint="99"/>
          </w:tcPr>
          <w:p w:rsidR="00885359" w:rsidRDefault="00885359" w:rsidP="00885359">
            <w:pPr>
              <w:spacing w:line="360" w:lineRule="auto"/>
              <w:jc w:val="both"/>
            </w:pPr>
            <w:r>
              <w:t>2. Fagocytujúce bunky</w:t>
            </w:r>
          </w:p>
        </w:tc>
        <w:tc>
          <w:tcPr>
            <w:tcW w:w="4605" w:type="dxa"/>
            <w:shd w:val="clear" w:color="auto" w:fill="95B3D7" w:themeFill="accent1" w:themeFillTint="99"/>
          </w:tcPr>
          <w:p w:rsidR="00885359" w:rsidRDefault="00885359" w:rsidP="00885359">
            <w:pPr>
              <w:spacing w:line="360" w:lineRule="auto"/>
              <w:jc w:val="both"/>
            </w:pPr>
            <w:r>
              <w:t>Neutrofily a makrofágy</w:t>
            </w:r>
          </w:p>
        </w:tc>
      </w:tr>
      <w:tr w:rsidR="00885359" w:rsidTr="00885359">
        <w:tc>
          <w:tcPr>
            <w:tcW w:w="4605" w:type="dxa"/>
            <w:shd w:val="clear" w:color="auto" w:fill="B8CCE4" w:themeFill="accent1" w:themeFillTint="66"/>
          </w:tcPr>
          <w:p w:rsidR="00885359" w:rsidRDefault="00885359" w:rsidP="00885359">
            <w:pPr>
              <w:spacing w:line="360" w:lineRule="auto"/>
              <w:jc w:val="both"/>
            </w:pPr>
            <w:r>
              <w:t>3. NK bunky</w:t>
            </w:r>
          </w:p>
        </w:tc>
        <w:tc>
          <w:tcPr>
            <w:tcW w:w="4605" w:type="dxa"/>
            <w:shd w:val="clear" w:color="auto" w:fill="B8CCE4" w:themeFill="accent1" w:themeFillTint="66"/>
          </w:tcPr>
          <w:p w:rsidR="00885359" w:rsidRDefault="00885359" w:rsidP="00885359">
            <w:pPr>
              <w:spacing w:line="360" w:lineRule="auto"/>
              <w:jc w:val="both"/>
            </w:pPr>
            <w:r>
              <w:t>Natural killers bunky</w:t>
            </w:r>
          </w:p>
        </w:tc>
      </w:tr>
      <w:tr w:rsidR="00885359" w:rsidTr="00885359">
        <w:tc>
          <w:tcPr>
            <w:tcW w:w="4605" w:type="dxa"/>
            <w:shd w:val="clear" w:color="auto" w:fill="95B3D7" w:themeFill="accent1" w:themeFillTint="99"/>
          </w:tcPr>
          <w:p w:rsidR="00885359" w:rsidRDefault="00885359" w:rsidP="00885359">
            <w:pPr>
              <w:spacing w:line="360" w:lineRule="auto"/>
              <w:jc w:val="both"/>
            </w:pPr>
            <w:r>
              <w:t>4. Krvné bielkoviny</w:t>
            </w:r>
          </w:p>
        </w:tc>
        <w:tc>
          <w:tcPr>
            <w:tcW w:w="4605" w:type="dxa"/>
            <w:shd w:val="clear" w:color="auto" w:fill="95B3D7" w:themeFill="accent1" w:themeFillTint="99"/>
          </w:tcPr>
          <w:p w:rsidR="00885359" w:rsidRDefault="00885359" w:rsidP="00885359">
            <w:pPr>
              <w:spacing w:line="360" w:lineRule="auto"/>
              <w:jc w:val="both"/>
            </w:pPr>
            <w:r>
              <w:t>Vrátane komplementového systému a mediátorov zápalu</w:t>
            </w:r>
          </w:p>
        </w:tc>
      </w:tr>
      <w:tr w:rsidR="00885359" w:rsidTr="00885359">
        <w:tc>
          <w:tcPr>
            <w:tcW w:w="4605" w:type="dxa"/>
            <w:shd w:val="clear" w:color="auto" w:fill="B8CCE4" w:themeFill="accent1" w:themeFillTint="66"/>
          </w:tcPr>
          <w:p w:rsidR="00885359" w:rsidRDefault="00885359" w:rsidP="00885359">
            <w:pPr>
              <w:spacing w:line="360" w:lineRule="auto"/>
              <w:jc w:val="both"/>
            </w:pPr>
            <w:r>
              <w:t>5. Cytokíny</w:t>
            </w:r>
          </w:p>
        </w:tc>
        <w:tc>
          <w:tcPr>
            <w:tcW w:w="4605" w:type="dxa"/>
            <w:shd w:val="clear" w:color="auto" w:fill="B8CCE4" w:themeFill="accent1" w:themeFillTint="66"/>
          </w:tcPr>
          <w:p w:rsidR="00885359" w:rsidRDefault="00885359" w:rsidP="00885359">
            <w:pPr>
              <w:spacing w:line="360" w:lineRule="auto"/>
              <w:jc w:val="both"/>
            </w:pPr>
            <w:r>
              <w:t>Regulujú a koordinujú mnoho činností buniek vrodenej imunity</w:t>
            </w:r>
          </w:p>
        </w:tc>
      </w:tr>
    </w:tbl>
    <w:p w:rsidR="00885359" w:rsidRDefault="00885359" w:rsidP="00885359">
      <w:pPr>
        <w:spacing w:line="360" w:lineRule="auto"/>
        <w:jc w:val="both"/>
      </w:pPr>
    </w:p>
    <w:p w:rsidR="00B925BE" w:rsidRPr="00772406" w:rsidRDefault="00885359" w:rsidP="00885359">
      <w:pPr>
        <w:spacing w:line="360" w:lineRule="auto"/>
        <w:ind w:firstLine="708"/>
        <w:jc w:val="both"/>
      </w:pPr>
      <w:r w:rsidRPr="00885359">
        <w:rPr>
          <w:i/>
          <w:u w:val="single"/>
        </w:rPr>
        <w:t>Získ</w:t>
      </w:r>
      <w:r w:rsidR="00B925BE" w:rsidRPr="00885359">
        <w:rPr>
          <w:i/>
          <w:u w:val="single"/>
        </w:rPr>
        <w:t>aná imunita</w:t>
      </w:r>
      <w:r w:rsidR="00B925BE">
        <w:t xml:space="preserve"> (adaptívna, špecifická) predstavuje druhú obrannú líniu organizmu. Formuje sa v priebeh</w:t>
      </w:r>
      <w:r>
        <w:t>u života na základe kontaktu s c</w:t>
      </w:r>
      <w:r w:rsidR="00B925BE">
        <w:t>udzorodými látkami, ktoré nezničila prvá prirodzená obranná líni</w:t>
      </w:r>
      <w:r>
        <w:t>a. Výkonnými orgánmi sú špecific</w:t>
      </w:r>
      <w:r w:rsidR="00B925BE">
        <w:t>ké mechanizmy imunitného systému, ktoré sa aktivujú až po prvom stretnutí s daným antigénom. Po následnom</w:t>
      </w:r>
      <w:r>
        <w:t xml:space="preserve"> </w:t>
      </w:r>
      <w:r w:rsidRPr="00885359">
        <w:t>kontakte s mikroor</w:t>
      </w:r>
      <w:r>
        <w:t>ganizmom sprostredkujú špecializo</w:t>
      </w:r>
      <w:r w:rsidRPr="00885359">
        <w:t>vané bunky (B - lymfocyty) produkciu protil</w:t>
      </w:r>
      <w:r>
        <w:t>átok a aktivujú rad mechanizmov, ktorý</w:t>
      </w:r>
      <w:r w:rsidRPr="00885359">
        <w:t>ch výsledkom je likvidácia telu cudzích bu</w:t>
      </w:r>
      <w:r>
        <w:t>niek. B - lymfocyty majú ..pamäť</w:t>
      </w:r>
      <w:r w:rsidRPr="00885359">
        <w:t>". S</w:t>
      </w:r>
      <w:r>
        <w:t xml:space="preserve">ú schopné rýchlejšej reakcie. </w:t>
      </w:r>
      <w:r w:rsidRPr="00772406">
        <w:t>(Buc, 2001, Martinčeková, 2011)</w:t>
      </w:r>
    </w:p>
    <w:p w:rsidR="00885359" w:rsidRDefault="00FC0A86" w:rsidP="00885359">
      <w:pPr>
        <w:pStyle w:val="Nadpis1"/>
        <w:spacing w:line="360" w:lineRule="auto"/>
      </w:pPr>
      <w:bookmarkStart w:id="2" w:name="_Toc66642022"/>
      <w:r>
        <w:t xml:space="preserve">1.1 </w:t>
      </w:r>
      <w:r w:rsidR="00885359">
        <w:t>Imunoglobulíny</w:t>
      </w:r>
      <w:bookmarkEnd w:id="2"/>
    </w:p>
    <w:p w:rsidR="00885359" w:rsidRPr="00772406" w:rsidRDefault="00885359" w:rsidP="00885359">
      <w:pPr>
        <w:spacing w:line="360" w:lineRule="auto"/>
        <w:jc w:val="both"/>
      </w:pPr>
      <w:r>
        <w:tab/>
        <w:t>Zákl</w:t>
      </w:r>
      <w:r w:rsidRPr="00885359">
        <w:t>adná molekula imunoglobulínu sa sklad</w:t>
      </w:r>
      <w:r w:rsidR="006707D7">
        <w:t>á zo štyroch polypeptidových re</w:t>
      </w:r>
      <w:r w:rsidRPr="00885359">
        <w:t>ťazcov.</w:t>
      </w:r>
      <w:r w:rsidR="006707D7">
        <w:t xml:space="preserve"> Menší reťazec sa označuje ako ľ</w:t>
      </w:r>
      <w:r w:rsidRPr="00885359">
        <w:t>ahký (L light), väčší ako ťa</w:t>
      </w:r>
      <w:r w:rsidR="006707D7">
        <w:t>ž</w:t>
      </w:r>
      <w:r w:rsidRPr="00885359">
        <w:t>ký (H heavy). L-ret'azec sa viaže na ťažký reťazec prostredníctvom disul</w:t>
      </w:r>
      <w:r w:rsidR="006707D7">
        <w:t>f</w:t>
      </w:r>
      <w:r w:rsidRPr="00885359">
        <w:t>idových väzieb a podobné väzb</w:t>
      </w:r>
      <w:r w:rsidR="006707D7">
        <w:t>y spájajú aj oba ťažké reťazce. Molekula imuno</w:t>
      </w:r>
      <w:r w:rsidRPr="00885359">
        <w:t>globulínu má vždy identické aj L-reťazce aj H-reťazce. Existuje päť rôznych typov H-reťazcov, ktoré sa označujú gréckymi písmen</w:t>
      </w:r>
      <w:r w:rsidR="006707D7">
        <w:t xml:space="preserve">ami — γ </w:t>
      </w:r>
      <w:r w:rsidR="006707D7" w:rsidRPr="00885359">
        <w:t>(gama),</w:t>
      </w:r>
      <w:r w:rsidR="006707D7">
        <w:t xml:space="preserve"> μ </w:t>
      </w:r>
      <w:r w:rsidR="006707D7" w:rsidRPr="00885359">
        <w:t xml:space="preserve">(mí), </w:t>
      </w:r>
      <w:r w:rsidR="006707D7">
        <w:t xml:space="preserve">α </w:t>
      </w:r>
      <w:r w:rsidR="006707D7" w:rsidRPr="00885359">
        <w:t xml:space="preserve">(alpha), </w:t>
      </w:r>
      <w:r w:rsidR="006707D7">
        <w:t xml:space="preserve">δ </w:t>
      </w:r>
      <w:r w:rsidR="006707D7" w:rsidRPr="00885359">
        <w:t>(delta)</w:t>
      </w:r>
      <w:r w:rsidR="006707D7">
        <w:t xml:space="preserve"> a</w:t>
      </w:r>
      <w:r w:rsidRPr="00885359">
        <w:t xml:space="preserve"> </w:t>
      </w:r>
      <w:r w:rsidR="006707D7">
        <w:t xml:space="preserve"> ε</w:t>
      </w:r>
      <w:r w:rsidR="006707D7" w:rsidRPr="00885359">
        <w:t xml:space="preserve"> </w:t>
      </w:r>
      <w:r w:rsidRPr="00885359">
        <w:t xml:space="preserve">(epsilon). </w:t>
      </w:r>
      <w:r w:rsidR="006707D7">
        <w:t>V</w:t>
      </w:r>
      <w:r w:rsidRPr="00885359">
        <w:t xml:space="preserve"> rámci triedy IgG možno rozlíšiť štyri podtriedy a v rámci triedy IgA dve</w:t>
      </w:r>
      <w:r w:rsidRPr="00772406">
        <w:t>.</w:t>
      </w:r>
      <w:r w:rsidR="006707D7" w:rsidRPr="00772406">
        <w:t xml:space="preserve"> (Buc, 2009)</w:t>
      </w:r>
    </w:p>
    <w:p w:rsidR="00FC0A86" w:rsidRDefault="00FC0A86" w:rsidP="00885359">
      <w:pPr>
        <w:spacing w:line="360" w:lineRule="auto"/>
        <w:jc w:val="both"/>
        <w:rPr>
          <w:b/>
        </w:rPr>
      </w:pPr>
    </w:p>
    <w:p w:rsidR="009E3248" w:rsidRDefault="009E3248" w:rsidP="00885359">
      <w:pPr>
        <w:spacing w:line="360" w:lineRule="auto"/>
        <w:jc w:val="both"/>
        <w:rPr>
          <w:b/>
        </w:rPr>
      </w:pPr>
    </w:p>
    <w:p w:rsidR="009E3248" w:rsidRDefault="009E3248" w:rsidP="00885359">
      <w:pPr>
        <w:spacing w:line="360" w:lineRule="auto"/>
        <w:jc w:val="both"/>
        <w:rPr>
          <w:b/>
        </w:rPr>
      </w:pPr>
    </w:p>
    <w:p w:rsidR="009E3248" w:rsidRDefault="009E3248" w:rsidP="00885359">
      <w:pPr>
        <w:spacing w:line="360" w:lineRule="auto"/>
        <w:jc w:val="both"/>
        <w:rPr>
          <w:b/>
        </w:rPr>
      </w:pPr>
    </w:p>
    <w:p w:rsidR="009E3248" w:rsidRDefault="009E3248" w:rsidP="00885359">
      <w:pPr>
        <w:spacing w:line="360" w:lineRule="auto"/>
        <w:jc w:val="both"/>
        <w:rPr>
          <w:b/>
        </w:rPr>
      </w:pPr>
    </w:p>
    <w:p w:rsidR="009E3248" w:rsidRDefault="009E3248" w:rsidP="00885359">
      <w:pPr>
        <w:spacing w:line="360" w:lineRule="auto"/>
        <w:jc w:val="both"/>
        <w:rPr>
          <w:b/>
        </w:rPr>
      </w:pPr>
    </w:p>
    <w:p w:rsidR="006707D7" w:rsidRDefault="006707D7" w:rsidP="00885359">
      <w:pPr>
        <w:spacing w:line="360" w:lineRule="auto"/>
        <w:jc w:val="both"/>
      </w:pPr>
      <w:r>
        <w:lastRenderedPageBreak/>
        <w:t>Orb. č. 1. Základné triedy imunoglobulínov</w:t>
      </w:r>
      <w:r w:rsidR="009E3248">
        <w:t xml:space="preserve"> (Buc, 2009)</w:t>
      </w:r>
    </w:p>
    <w:p w:rsidR="006707D7" w:rsidRPr="006707D7" w:rsidRDefault="00805432" w:rsidP="00885359">
      <w:pPr>
        <w:spacing w:line="360" w:lineRule="auto"/>
        <w:jc w:val="both"/>
      </w:pPr>
      <w:r>
        <w:rPr>
          <w:noProof/>
        </w:rPr>
        <w:drawing>
          <wp:anchor distT="0" distB="0" distL="114300" distR="114300" simplePos="0" relativeHeight="251659264" behindDoc="1" locked="0" layoutInCell="1" allowOverlap="1">
            <wp:simplePos x="0" y="0"/>
            <wp:positionH relativeFrom="column">
              <wp:posOffset>-129540</wp:posOffset>
            </wp:positionH>
            <wp:positionV relativeFrom="paragraph">
              <wp:posOffset>207645</wp:posOffset>
            </wp:positionV>
            <wp:extent cx="5753100" cy="4143375"/>
            <wp:effectExtent l="0" t="0" r="0" b="9525"/>
            <wp:wrapNone/>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41433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707D7" w:rsidRDefault="006707D7" w:rsidP="003E09DF">
      <w:pPr>
        <w:pStyle w:val="Nadpis1"/>
      </w:pPr>
      <w:bookmarkStart w:id="3" w:name="_Toc66637898"/>
      <w:bookmarkStart w:id="4" w:name="_Toc66638330"/>
      <w:bookmarkEnd w:id="3"/>
      <w:bookmarkEnd w:id="4"/>
    </w:p>
    <w:p w:rsidR="006707D7" w:rsidRDefault="006707D7" w:rsidP="003E09DF">
      <w:pPr>
        <w:pStyle w:val="Nadpis1"/>
      </w:pPr>
    </w:p>
    <w:p w:rsidR="006707D7" w:rsidRDefault="006707D7" w:rsidP="003E09DF">
      <w:pPr>
        <w:pStyle w:val="Nadpis1"/>
      </w:pPr>
    </w:p>
    <w:p w:rsidR="006707D7" w:rsidRDefault="006707D7" w:rsidP="003E09DF">
      <w:pPr>
        <w:pStyle w:val="Nadpis1"/>
      </w:pPr>
    </w:p>
    <w:p w:rsidR="006707D7" w:rsidRDefault="006707D7" w:rsidP="003E09DF">
      <w:pPr>
        <w:pStyle w:val="Nadpis1"/>
      </w:pPr>
    </w:p>
    <w:p w:rsidR="006707D7" w:rsidRDefault="006707D7" w:rsidP="003E09DF">
      <w:pPr>
        <w:pStyle w:val="Nadpis1"/>
      </w:pPr>
    </w:p>
    <w:p w:rsidR="006707D7" w:rsidRDefault="006707D7" w:rsidP="003E09DF">
      <w:pPr>
        <w:pStyle w:val="Nadpis1"/>
      </w:pPr>
    </w:p>
    <w:p w:rsidR="006707D7" w:rsidRDefault="006707D7" w:rsidP="003E09DF">
      <w:pPr>
        <w:pStyle w:val="Nadpis1"/>
      </w:pPr>
    </w:p>
    <w:p w:rsidR="006707D7" w:rsidRDefault="006707D7" w:rsidP="003E09DF">
      <w:pPr>
        <w:pStyle w:val="Nadpis1"/>
      </w:pPr>
    </w:p>
    <w:p w:rsidR="006707D7" w:rsidRDefault="006707D7" w:rsidP="003E09DF">
      <w:pPr>
        <w:pStyle w:val="Nadpis1"/>
      </w:pPr>
    </w:p>
    <w:p w:rsidR="006707D7" w:rsidRDefault="006707D7" w:rsidP="003E09DF">
      <w:pPr>
        <w:pStyle w:val="Nadpis1"/>
      </w:pPr>
    </w:p>
    <w:p w:rsidR="005A0248" w:rsidRPr="00772406" w:rsidRDefault="005A0248" w:rsidP="00FC0A86">
      <w:pPr>
        <w:spacing w:line="360" w:lineRule="auto"/>
        <w:ind w:firstLine="708"/>
        <w:jc w:val="both"/>
      </w:pPr>
      <w:r>
        <w:t>IgM je imunoglobulín tvorený z 5 zák</w:t>
      </w:r>
      <w:r w:rsidR="006707D7" w:rsidRPr="005A0248">
        <w:t>ladných podjednotiek spojených navzájom disulfidi</w:t>
      </w:r>
      <w:r>
        <w:t>ckými väzbami do kru</w:t>
      </w:r>
      <w:r w:rsidR="006707D7" w:rsidRPr="005A0248">
        <w:t>hu. Dva monoméry IgM sú spolu ešte prepojené malý</w:t>
      </w:r>
      <w:r>
        <w:t>m polypeptidom bohatým na cysteí</w:t>
      </w:r>
      <w:r w:rsidR="006707D7" w:rsidRPr="005A0248">
        <w:t>n, ktorý sa označuj</w:t>
      </w:r>
      <w:r>
        <w:t>e ako J (joining) reťazec. Sekr</w:t>
      </w:r>
      <w:r w:rsidR="006707D7" w:rsidRPr="005A0248">
        <w:t>etovaný IgM teda existuje vo forme pentaméru, kde sú jednotlivé</w:t>
      </w:r>
      <w:r>
        <w:t xml:space="preserve"> monoméry spojené do kruhu cystí</w:t>
      </w:r>
      <w:r w:rsidR="006707D7" w:rsidRPr="005A0248">
        <w:t>novými mos</w:t>
      </w:r>
      <w:r>
        <w:t>tík</w:t>
      </w:r>
      <w:r w:rsidR="006707D7" w:rsidRPr="005A0248">
        <w:t>mi a</w:t>
      </w:r>
      <w:r>
        <w:t xml:space="preserve"> jedným J reťazcom. Po stretnutí</w:t>
      </w:r>
      <w:r w:rsidR="006707D7" w:rsidRPr="005A0248">
        <w:t xml:space="preserve"> s antigénom sa vytvára ako prvý zo všetkých izotypov protilátok. Relat</w:t>
      </w:r>
      <w:r>
        <w:t>í</w:t>
      </w:r>
      <w:r w:rsidR="006707D7" w:rsidRPr="005A0248">
        <w:t>vna molekulová hmotnosť IgM je značne veľká, až 900 kDa. Následkom tejto hmotnosti sa nachádza iba</w:t>
      </w:r>
      <w:r>
        <w:t xml:space="preserve"> v plazme a neprechádza do tkaní</w:t>
      </w:r>
      <w:r w:rsidR="006707D7" w:rsidRPr="005A0248">
        <w:t>v. Označuje sa</w:t>
      </w:r>
      <w:r>
        <w:t xml:space="preserve"> tiež ako makroglobulí</w:t>
      </w:r>
      <w:r w:rsidR="006707D7" w:rsidRPr="005A0248">
        <w:t>n. IgM môže existovať nielen ako pentamér, ale aj ako dimér, trimér, tetramér a</w:t>
      </w:r>
      <w:r>
        <w:t> </w:t>
      </w:r>
      <w:r w:rsidR="006707D7" w:rsidRPr="005A0248">
        <w:t>hexamér</w:t>
      </w:r>
      <w:r>
        <w:t>.</w:t>
      </w:r>
      <w:r w:rsidR="006707D7" w:rsidRPr="005A0248">
        <w:t xml:space="preserve"> </w:t>
      </w:r>
      <w:r w:rsidR="006707D7" w:rsidRPr="00772406">
        <w:t>(H</w:t>
      </w:r>
      <w:r w:rsidRPr="00772406">
        <w:t>ořejší a kol., 2009; Buc, 2001)</w:t>
      </w:r>
      <w:r w:rsidR="006707D7" w:rsidRPr="00772406">
        <w:t xml:space="preserve"> </w:t>
      </w:r>
    </w:p>
    <w:p w:rsidR="005A0248" w:rsidRPr="00772406" w:rsidRDefault="006707D7" w:rsidP="00FC0A86">
      <w:pPr>
        <w:spacing w:line="360" w:lineRule="auto"/>
        <w:ind w:firstLine="708"/>
        <w:jc w:val="both"/>
      </w:pPr>
      <w:r w:rsidRPr="005A0248">
        <w:t>IgA sa v</w:t>
      </w:r>
      <w:r w:rsidR="005A0248">
        <w:t>yskytuje najmä na povrchu slizníc a v sekrétoch, čí</w:t>
      </w:r>
      <w:r w:rsidRPr="005A0248">
        <w:t>m sa rozlišujú jeho dve formy, slizničná a sérová. T</w:t>
      </w:r>
      <w:r w:rsidR="005A0248">
        <w:t>vorí 10 — 15 % plazmových imunoglobulí</w:t>
      </w:r>
      <w:r w:rsidRPr="005A0248">
        <w:t xml:space="preserve">nov, pričom v plazme sa nachádza aj ako dimér, </w:t>
      </w:r>
      <w:r w:rsidR="005A0248">
        <w:t>poprípade</w:t>
      </w:r>
      <w:r w:rsidRPr="005A0248">
        <w:t xml:space="preserve"> trimér. Sérový</w:t>
      </w:r>
      <w:r w:rsidR="005A0248">
        <w:t xml:space="preserve"> </w:t>
      </w:r>
      <w:r w:rsidRPr="005A0248">
        <w:t>IgA môže byt' monomér, dimér, alebo trimér základnej jednotky. IgA nespúšťa cestu komplementu. Diferencujú sa 2 podtriedy - IgAl a IgA2. IgAl pochádza zo slizničných plazmocytov, kdežto IgA2 sa</w:t>
      </w:r>
      <w:r w:rsidR="005A0248">
        <w:t xml:space="preserve"> tvorí skôr v kostnej dreni. Prí</w:t>
      </w:r>
      <w:r w:rsidRPr="005A0248">
        <w:t xml:space="preserve">tomnosť protilátok IgA v séromukóznych sekrétoch chráni </w:t>
      </w:r>
      <w:r w:rsidRPr="005A0248">
        <w:lastRenderedPageBreak/>
        <w:t xml:space="preserve">vonkajšie povrchy tela </w:t>
      </w:r>
      <w:r w:rsidR="005A0248">
        <w:t>vniknutí</w:t>
      </w:r>
      <w:r w:rsidRPr="005A0248">
        <w:t>m m</w:t>
      </w:r>
      <w:r w:rsidR="005A0248">
        <w:t>ikroorganizmov alebo iných častí</w:t>
      </w:r>
      <w:r w:rsidRPr="005A0248">
        <w:t>c do organizmu tým, že bráni</w:t>
      </w:r>
      <w:r w:rsidR="005A0248">
        <w:t xml:space="preserve"> ich adherencii na povrch slizní</w:t>
      </w:r>
      <w:r w:rsidRPr="005A0248">
        <w:t>c</w:t>
      </w:r>
      <w:r w:rsidR="005A0248" w:rsidRPr="00772406">
        <w:t>.</w:t>
      </w:r>
      <w:r w:rsidRPr="00772406">
        <w:t xml:space="preserve"> (Ho</w:t>
      </w:r>
      <w:r w:rsidR="005A0248" w:rsidRPr="00772406">
        <w:t>řejší a kol., 2009; Buc, 2001)</w:t>
      </w:r>
      <w:r w:rsidRPr="00772406">
        <w:t xml:space="preserve"> </w:t>
      </w:r>
    </w:p>
    <w:p w:rsidR="006707D7" w:rsidRPr="00772406" w:rsidRDefault="006707D7" w:rsidP="00FC0A86">
      <w:pPr>
        <w:spacing w:line="360" w:lineRule="auto"/>
        <w:ind w:firstLine="708"/>
        <w:jc w:val="both"/>
      </w:pPr>
      <w:r w:rsidRPr="005A0248">
        <w:t>IgE je známy najmä pre svoju účasť na alergických reakciách. Jeho hlavná fyziologická funkcia spoč</w:t>
      </w:r>
      <w:r w:rsidR="005A0248">
        <w:t>í</w:t>
      </w:r>
      <w:r w:rsidRPr="005A0248">
        <w:t>va v induk</w:t>
      </w:r>
      <w:r w:rsidR="005A0248">
        <w:t>cii lokálnych zápalových reakcií</w:t>
      </w:r>
      <w:r w:rsidRPr="005A0248">
        <w:t xml:space="preserve"> uplatňujúcich sa predovšetkým v boji s parazitárnymi infekciami organizmu. Vyskytuje sa ako monomér a u zdravého jedinca sa nachádza v malých množstvách. Protilátky triedy IgE neprechádzajú placentou. Zvýšené hladiny IgE, ktoré sa pozorujú v pupočn</w:t>
      </w:r>
      <w:r w:rsidR="005A0248">
        <w:t>í</w:t>
      </w:r>
      <w:r w:rsidRPr="005A0248">
        <w:t>kovej krvi novorodenca sú spojené s atopiou ich matky. V tele matky dochádza ku produkcii IL - 4 (interleukin - 4) a IL - 3 (interleukin - 3), ktoré prechádzajú placentou a indukujú v tele plodu syntézu IgE. Zvýšená hladina IgE u novorodencov je asociovaná so zvýšeným rizikom vývoja alergie. IgE nef</w:t>
      </w:r>
      <w:r w:rsidR="005A0248">
        <w:t>i</w:t>
      </w:r>
      <w:r w:rsidRPr="005A0248">
        <w:t>xujú komplement, ale viažu sa na tkanivové mastocyty, bazofily, eozinofily, ktoré vlastnia vysokoafinitný receptor pre IgE. Väzbou parazitárneho antigénu alebo alergénu na IgE dochádza ku ich degranulácii</w:t>
      </w:r>
      <w:r w:rsidR="005A0248">
        <w:t xml:space="preserve"> a ku vyplaveniu biologicky aktívnych mediátorov. </w:t>
      </w:r>
      <w:r w:rsidR="005A0248" w:rsidRPr="00772406">
        <w:t>(Hořejší a kol</w:t>
      </w:r>
      <w:r w:rsidRPr="00772406">
        <w:t>, 2009; Buc, 2001)</w:t>
      </w:r>
    </w:p>
    <w:p w:rsidR="005A0248" w:rsidRPr="00772406" w:rsidRDefault="00FC0A86" w:rsidP="00FC0A86">
      <w:pPr>
        <w:spacing w:line="360" w:lineRule="auto"/>
        <w:ind w:firstLine="708"/>
        <w:jc w:val="both"/>
      </w:pPr>
      <w:r>
        <w:t>IgD sa svojou štruktúrou l</w:t>
      </w:r>
      <w:r w:rsidR="005A0248" w:rsidRPr="005A0248">
        <w:t>íši od ostatných imunoglobulínov. D</w:t>
      </w:r>
      <w:r>
        <w:t>iferencia IgD sa vzť</w:t>
      </w:r>
      <w:r w:rsidR="005A0248" w:rsidRPr="005A0248">
        <w:t>ahuje na jeho pántovú oblasť, ktorá je vermi dlhá a zložená zo 64 aminokyselinových jednotiek</w:t>
      </w:r>
      <w:r>
        <w:t>. Odlišnosť sa dotýka tiež aj ťažkých reť</w:t>
      </w:r>
      <w:r w:rsidR="005A0248" w:rsidRPr="005A0248">
        <w:t>azcov IgD, ktoré nie sú spojené disulfidovými mostíkmi. Protilátková aktivita IgD je v porovnaní s protilátkovou aktivito</w:t>
      </w:r>
      <w:r>
        <w:t>u ostatných tried pomerne nepatrn</w:t>
      </w:r>
      <w:r w:rsidR="005A0248" w:rsidRPr="005A0248">
        <w:t>á. Zaujímavosťou však je, že fajčiari majú 2x vyššiu hladinu IgD ako nefajčiari. Hlavnou funkciou IgD je jeho receptorová funkcia. IgD je principiálnym antigénovým rece</w:t>
      </w:r>
      <w:r>
        <w:t xml:space="preserve">ptorom zrelých B lymfocytov. </w:t>
      </w:r>
      <w:r w:rsidRPr="00772406">
        <w:t>(Hoř</w:t>
      </w:r>
      <w:r w:rsidR="005A0248" w:rsidRPr="00772406">
        <w:t>ej</w:t>
      </w:r>
      <w:r w:rsidRPr="00772406">
        <w:t>ší a kol., 2009; Buc, 2001)</w:t>
      </w:r>
    </w:p>
    <w:p w:rsidR="00A16666" w:rsidRPr="003E09DF" w:rsidRDefault="00FC0A86" w:rsidP="003E09DF">
      <w:pPr>
        <w:pStyle w:val="Nadpis1"/>
      </w:pPr>
      <w:bookmarkStart w:id="5" w:name="_Toc66642023"/>
      <w:r>
        <w:t xml:space="preserve">1. 2 </w:t>
      </w:r>
      <w:r w:rsidR="00A16666" w:rsidRPr="003E09DF">
        <w:t>Protilátka</w:t>
      </w:r>
      <w:bookmarkEnd w:id="5"/>
    </w:p>
    <w:p w:rsidR="00A16666" w:rsidRPr="00772406" w:rsidRDefault="00382CAA" w:rsidP="00A16666">
      <w:pPr>
        <w:spacing w:line="360" w:lineRule="auto"/>
        <w:jc w:val="both"/>
      </w:pPr>
      <w:r>
        <w:tab/>
        <w:t>Názov „protilátka</w:t>
      </w:r>
      <w:r w:rsidR="00A16666">
        <w:t xml:space="preserve">“ prvýkrát použili v roku 1980 </w:t>
      </w:r>
      <w:r w:rsidR="00A16666">
        <w:rPr>
          <w:i/>
        </w:rPr>
        <w:t xml:space="preserve">Von Behring </w:t>
      </w:r>
      <w:r w:rsidR="00A16666">
        <w:t>a </w:t>
      </w:r>
      <w:r w:rsidR="00A16666">
        <w:rPr>
          <w:i/>
        </w:rPr>
        <w:t>Kitasoto</w:t>
      </w:r>
      <w:r w:rsidR="00A16666">
        <w:t xml:space="preserve"> na opísanie látky, ktorá sa nachádzala v sére vakcinovaných jedincov. Za autora sa ale považuje </w:t>
      </w:r>
      <w:r w:rsidR="00A16666">
        <w:rPr>
          <w:i/>
        </w:rPr>
        <w:t>Paul Ehrlich</w:t>
      </w:r>
      <w:r w:rsidR="00A16666">
        <w:t xml:space="preserve">, ktorý pomenoval látky schopné zhlukovať mikroorganizmy ako protilátky. Za túto teóriu o produkcii protilátok získal v roku 1908 Nobelovú cenu </w:t>
      </w:r>
      <w:r w:rsidR="00A16666" w:rsidRPr="00772406">
        <w:t>(Pružinec a kol., 2007).</w:t>
      </w:r>
    </w:p>
    <w:p w:rsidR="00F33FEF" w:rsidRPr="003E09DF" w:rsidRDefault="00FC0A86" w:rsidP="00A16666">
      <w:pPr>
        <w:pStyle w:val="Nadpis1"/>
        <w:spacing w:line="360" w:lineRule="auto"/>
        <w:jc w:val="both"/>
      </w:pPr>
      <w:bookmarkStart w:id="6" w:name="_Toc66642024"/>
      <w:r>
        <w:t xml:space="preserve">2 </w:t>
      </w:r>
      <w:r w:rsidR="00A16666" w:rsidRPr="003E09DF">
        <w:t>Monoklonálne protilátky</w:t>
      </w:r>
      <w:bookmarkEnd w:id="6"/>
    </w:p>
    <w:p w:rsidR="00A16666" w:rsidRPr="00772406" w:rsidRDefault="00A16666" w:rsidP="00A16666">
      <w:pPr>
        <w:spacing w:line="360" w:lineRule="auto"/>
        <w:jc w:val="both"/>
      </w:pPr>
      <w:r>
        <w:tab/>
        <w:t xml:space="preserve">Monoklonálne protilátky (mAb) sú zložkou imunitného systému, ktorý bráni organizmus človeka pred cudzorodými látkami. Podstatou imunitnej reakcie založenej na protilátkach je rozpoznávanie antigénu povrchovým antigénne špecifickým receptorom B – </w:t>
      </w:r>
      <w:r>
        <w:lastRenderedPageBreak/>
        <w:t xml:space="preserve">lymfocytov. Takto stimulované B – lymfocyty sa za vhodných podmienok množia a diferencujú sa na plazmatické bunky, ktoré produkujú veľké množstvo protilátok. Väčšina antigénov, najmä proteíny je schopných vyvolať len protilátkovú odpoveď závislú na spolupráci Th buniek (pomocné T –lymfocyty, T – helper) s B – lymfocytmi. Nazývame ich T – závislé, dependentné antigény. Na druhej strane existujú aj T – nezávislé antigény, ktoré spôsobujú diferenciáciu B lymfocytov na plazmocyty a sekrétujú protilátky aj bez spolupráce s Th </w:t>
      </w:r>
      <w:r w:rsidRPr="00772406">
        <w:t>(Hořejší a kol., 2009).</w:t>
      </w:r>
    </w:p>
    <w:p w:rsidR="00A16666" w:rsidRDefault="00FC0A86" w:rsidP="00A16666">
      <w:pPr>
        <w:pStyle w:val="Nadpis1"/>
        <w:spacing w:line="360" w:lineRule="auto"/>
        <w:jc w:val="both"/>
      </w:pPr>
      <w:bookmarkStart w:id="7" w:name="_Toc66642025"/>
      <w:r>
        <w:t xml:space="preserve">2.1 </w:t>
      </w:r>
      <w:r w:rsidR="00A16666">
        <w:t>História mAb</w:t>
      </w:r>
      <w:bookmarkEnd w:id="7"/>
    </w:p>
    <w:p w:rsidR="00A16666" w:rsidRDefault="00A16666" w:rsidP="00A16666">
      <w:pPr>
        <w:spacing w:line="360" w:lineRule="auto"/>
        <w:jc w:val="both"/>
        <w:rPr>
          <w:b/>
        </w:rPr>
      </w:pPr>
      <w:r>
        <w:tab/>
        <w:t xml:space="preserve">Monoklonálne protilátky boli prvý krát pripravené v roku 1975 na podnet </w:t>
      </w:r>
      <w:r w:rsidRPr="00A16666">
        <w:rPr>
          <w:i/>
        </w:rPr>
        <w:t>Georga Köhlera</w:t>
      </w:r>
      <w:r>
        <w:t xml:space="preserve"> a </w:t>
      </w:r>
      <w:r w:rsidRPr="00A16666">
        <w:rPr>
          <w:i/>
        </w:rPr>
        <w:t xml:space="preserve">Cesara </w:t>
      </w:r>
      <w:r>
        <w:rPr>
          <w:i/>
        </w:rPr>
        <w:t>Milsteina</w:t>
      </w:r>
      <w:r>
        <w:t xml:space="preserve">, za čo získali Nobelovú cenu. Vyvinuli metódu na imortalizáciu individuálnych protilátok – sekretujúcich buniek z imunizovaného zvieraťa produkujúceho hybridómy, ktoré sekretujú monoklonálne protilátky predurčenej špecificity. Tieto protilátky mali požadovanú špecifickosť väzobného miesta a schopnosť produkcie vo veľkom množstve </w:t>
      </w:r>
      <w:r w:rsidRPr="00772406">
        <w:t>(Abbas et all., 2007; Buc, 2009)</w:t>
      </w:r>
    </w:p>
    <w:p w:rsidR="00A16666" w:rsidRDefault="00A16666" w:rsidP="00A16666">
      <w:pPr>
        <w:spacing w:line="360" w:lineRule="auto"/>
        <w:jc w:val="both"/>
      </w:pPr>
      <w:r>
        <w:rPr>
          <w:b/>
        </w:rPr>
        <w:tab/>
      </w:r>
      <w:r>
        <w:t xml:space="preserve">Ako prvé pokusy s nádorovými bunkami opísali </w:t>
      </w:r>
      <w:r>
        <w:rPr>
          <w:i/>
        </w:rPr>
        <w:t>Hericout</w:t>
      </w:r>
      <w:r>
        <w:t xml:space="preserve"> a </w:t>
      </w:r>
      <w:r>
        <w:rPr>
          <w:i/>
        </w:rPr>
        <w:t>Richet</w:t>
      </w:r>
      <w:r>
        <w:t xml:space="preserve"> v roku 1985, ktoré sa aplikovali zvieratám na zvýšenie antisér pre liečbu onkologických pacientov. Niekoľkým pacientom bolo podaávané pre ich ochorenie typické a špeciálne upravené sérum. U žiadneho pacienta nedošlo k úplnému vyliečeniu, avšak sa u nich zistilo značné zlepšenie príznakov ochorenia </w:t>
      </w:r>
      <w:r w:rsidRPr="00772406">
        <w:t>(Pružinec a kol., 2007).</w:t>
      </w:r>
    </w:p>
    <w:p w:rsidR="00A16666" w:rsidRDefault="00A16666" w:rsidP="00A16666">
      <w:pPr>
        <w:spacing w:line="360" w:lineRule="auto"/>
        <w:jc w:val="both"/>
      </w:pPr>
      <w:r>
        <w:tab/>
        <w:t xml:space="preserve">V 40. – 50 rokoch minulého storočia dochádzalo ku opätovnému používaniu sérových faktorov v liečbe, tentoraz už s úsilím izolácie účinnej látky. </w:t>
      </w:r>
      <w:r>
        <w:rPr>
          <w:i/>
        </w:rPr>
        <w:t>Cohn</w:t>
      </w:r>
      <w:r>
        <w:t xml:space="preserve"> v roku 1940 vynašiel účinný technologický postup frakcionácie ľudskej krvi do viacerých komponentov. Poskytol tak vznik imuno-globulínového koncentrátu, ktorý bol zatiaľ vhodný len na intramuskulárne podanie </w:t>
      </w:r>
      <w:r w:rsidRPr="00772406">
        <w:t>(Pružinec a kol., 2007).</w:t>
      </w:r>
    </w:p>
    <w:p w:rsidR="00A16666" w:rsidRDefault="00A16666" w:rsidP="00A16666">
      <w:pPr>
        <w:spacing w:line="360" w:lineRule="auto"/>
        <w:jc w:val="both"/>
      </w:pPr>
      <w:r>
        <w:tab/>
      </w:r>
      <w:r>
        <w:rPr>
          <w:i/>
        </w:rPr>
        <w:t>Paul Ehrlich</w:t>
      </w:r>
      <w:r>
        <w:t xml:space="preserve"> navrhol koncept „receptorov“ vylučovaných bunkami imunitného systému pri odpovedi na cudzie antigény. Na začiatku malaprebiehať syntéza viacerých receptorov, potom naviazanie antigénu na špecifický receptor, následne rozmnoženie týchto receptorov na povrchu bunky (leukocytu), a nakoniec uvoľnenie receptorov – syntéza protilátky. Predvídal ich pôsobenie ako „</w:t>
      </w:r>
      <w:r>
        <w:rPr>
          <w:i/>
        </w:rPr>
        <w:t>magických striel</w:t>
      </w:r>
      <w:r>
        <w:t xml:space="preserve">“, ktoré špecificky atakujú množstvo chorôb </w:t>
      </w:r>
      <w:r w:rsidRPr="00772406">
        <w:t>(Pružinec a kol., 2007).</w:t>
      </w:r>
    </w:p>
    <w:p w:rsidR="00A16666" w:rsidRDefault="00A16666" w:rsidP="00A16666">
      <w:pPr>
        <w:spacing w:line="360" w:lineRule="auto"/>
        <w:jc w:val="both"/>
      </w:pPr>
      <w:r>
        <w:tab/>
        <w:t xml:space="preserve">Neskôr sa začínajú objavovať tzv. inštrukčné teórie, na základe ktorých je protilátka ušitá priamo na model daného antigénu. Ďalej je to templátová teória podľa </w:t>
      </w:r>
      <w:r>
        <w:rPr>
          <w:i/>
        </w:rPr>
        <w:t xml:space="preserve">Breinla </w:t>
      </w:r>
      <w:r>
        <w:t>a </w:t>
      </w:r>
      <w:r>
        <w:rPr>
          <w:i/>
        </w:rPr>
        <w:t>Haurowitza</w:t>
      </w:r>
      <w:r>
        <w:t xml:space="preserve"> z roku 1930. Neskôr neória variabilného pozohýnania podľa </w:t>
      </w:r>
      <w:r>
        <w:rPr>
          <w:i/>
        </w:rPr>
        <w:lastRenderedPageBreak/>
        <w:t xml:space="preserve">Paulinga </w:t>
      </w:r>
      <w:r>
        <w:t xml:space="preserve">z roku 1940. Podľa predstáv týchto teórií sa antigén po vniknutí do bunky tvoriacej protilátky vtlačí vznikajúcim protilátkam “správnu“ povrchovú štruktúru. Protilátky sa mali skladať z rovnakých polypeptidov, ktoré sa rôzne priestorovo stláčajú </w:t>
      </w:r>
      <w:r w:rsidRPr="00772406">
        <w:t>(Pružinec a kol., 2007).</w:t>
      </w:r>
    </w:p>
    <w:p w:rsidR="00A16666" w:rsidRDefault="00A16666" w:rsidP="00A16666">
      <w:pPr>
        <w:spacing w:line="360" w:lineRule="auto"/>
        <w:jc w:val="both"/>
      </w:pPr>
      <w:r>
        <w:tab/>
        <w:t xml:space="preserve">Inštrukčné teórie vystriedali tzv. selekčné teórie. Predpokladajú preexistenciu protilátok, ktoré sa podľa potreby vyberú pre konkrétny antigén. Podľa teórie existuje už pripravený veľký počet materských lymfoidných buniek v lymfatických uzlinách a slezine, ktoré sa ešte pred prvým kontaktom s antigénom „rozhodli“ pre tvorbu imunoglobulínov určitej špecifickostui. Ke´d určitý antigén vnikne do obehu, dostane sa do styku s veľkým počtom čakajúcich B –lymfocytov. Väzba antigénu s antigénovým receptorom, ktorého hlavnou súčasťou je povrchový imunoglobulín, vyvolá biochemický signál. Ten následne stimuluje prekurzorové bunky. Vznikne tak mnoho B – lymfocytov rovnakého typu. Nakoľko pochádzajú z jednej materskej bunky, tvoria klon. Tieto potom vytvárajú a vylučujú protilátky s tou istou špecifiskosťou ako mal pôvodný imunoglobulín v receptoroch aktivovanej bunky </w:t>
      </w:r>
      <w:r w:rsidRPr="00772406">
        <w:t>(Pružinec a kol., 2007).</w:t>
      </w:r>
    </w:p>
    <w:p w:rsidR="00A16666" w:rsidRPr="00D70A2E" w:rsidRDefault="00FC0A86" w:rsidP="00A16666">
      <w:pPr>
        <w:pStyle w:val="Nadpis1"/>
        <w:spacing w:line="360" w:lineRule="auto"/>
        <w:jc w:val="both"/>
      </w:pPr>
      <w:bookmarkStart w:id="8" w:name="_Toc66642026"/>
      <w:r>
        <w:t xml:space="preserve">2.2 </w:t>
      </w:r>
      <w:r w:rsidR="00A16666" w:rsidRPr="00D70A2E">
        <w:t>Problematika monoklonálnych protilátok</w:t>
      </w:r>
      <w:bookmarkEnd w:id="8"/>
    </w:p>
    <w:p w:rsidR="00A16666" w:rsidRPr="00772406" w:rsidRDefault="00A16666" w:rsidP="00A16666">
      <w:pPr>
        <w:spacing w:line="360" w:lineRule="auto"/>
        <w:ind w:firstLine="708"/>
        <w:jc w:val="both"/>
      </w:pPr>
      <w:r>
        <w:t>Antigén, ktorý indukuje humorálnu imunitnú odpoveď má mnohočetné determinanty a protilátky, ktoré proti nemu vznikajú. Sú heterogénne, teda tvoria zmes protilátok o rôznej špecifickosti a nazývajú sa polyklonálne protilátky. Antigénová determinanta alebo epitop je miesto na antigéne, kde sa naviaže protilátka. Každá protilátka rozpoznáva iný determinant antigénu a cirkuluje v krvi dovtedy, kým sa nenájde a nenaviaže na antigén. Naproti polyklonálnym protilátkam sú monoklonálne protilátky určitej špecifickosti a výsledkom produkcie jedného klonu B - lymfocytov. Imunitná odpoveď, ktorú vyvolávajú je ale polyklonová, pretože vytvárajú</w:t>
      </w:r>
      <w:r w:rsidR="00382CAA">
        <w:t xml:space="preserve"> početné rovnaké bunky. Kedže m</w:t>
      </w:r>
      <w:r>
        <w:t>Ab sú produktom jediného klonu B - lymfocytov, sú teda homogénne a prísne špecifické proti jednému epitopu. Prirodzene sa jednotlivé monoklonálne protilátky v organizme nachádzajú v malých množstvách, ktoré môžu prevládať za patologických podmienok</w:t>
      </w:r>
      <w:r w:rsidR="00382CAA">
        <w:t>.</w:t>
      </w:r>
      <w:r>
        <w:t xml:space="preserve"> </w:t>
      </w:r>
      <w:r w:rsidRPr="00772406">
        <w:t>(Buc, 2001)</w:t>
      </w:r>
    </w:p>
    <w:p w:rsidR="00A16666" w:rsidRPr="00772406" w:rsidRDefault="00A16666" w:rsidP="00A16666">
      <w:pPr>
        <w:spacing w:line="360" w:lineRule="auto"/>
        <w:ind w:firstLine="708"/>
        <w:jc w:val="both"/>
      </w:pPr>
      <w:r>
        <w:t xml:space="preserve">V minulosti sa k terapii a diagnostike používali myšacie monoklonálne protilátky. Po ich aplikácii pacientom dochádzalo ku imunitnej reakcii do 2 - 3 týždňov po prvom podaní monoklonálnej protilátky na cudzorodý proteín a ku tvorbe anti – myšacích protilátok. Nazývajú sa HAMA (human anti - mouse antibodies). Ľudské protilátky voči myšacím imunoglobulínom tvorbou imunokomplexov zabraňujú väzbe na príslušný </w:t>
      </w:r>
      <w:r>
        <w:lastRenderedPageBreak/>
        <w:t xml:space="preserve">antigén a urýchľujú elimináciu liečiva z krvného obehu. Pri opakovanej aplikácii monoklonálnych protilátok sa tým znižuje ich účinnosť a vzniká veľké riziko nežiaducej anafylaktickej reakcie či sérovej choroby. Preto sa začali vyvíjať nové mechanizmy na zníženie imunogenicity monoklonálnych </w:t>
      </w:r>
      <w:r w:rsidRPr="00772406">
        <w:t>protilátok</w:t>
      </w:r>
      <w:r w:rsidR="00382CAA">
        <w:t>.</w:t>
      </w:r>
      <w:r w:rsidRPr="00772406">
        <w:t xml:space="preserve"> (Hořejší a kol., 2009; Pružinec a kol., 2007; Cwiertka a kol., 2004</w:t>
      </w:r>
      <w:r w:rsidR="00382CAA">
        <w:t>)</w:t>
      </w:r>
    </w:p>
    <w:p w:rsidR="00A16666" w:rsidRDefault="00A16666" w:rsidP="00A16666">
      <w:pPr>
        <w:spacing w:line="360" w:lineRule="auto"/>
        <w:ind w:firstLine="708"/>
        <w:jc w:val="both"/>
      </w:pPr>
      <w:r>
        <w:t>V súčasnosti sa na prípravu monoklonálnych protilátok využívajú metódy génového inžinierstva - rekombinantné techniky. Výsledným objavom možných príprav boli chimerické alebo humanizované protilátky. Pričom tieto protilátky majú nahradené všetky časti molekuly, ktoré netvoria väzobné miesto pre antigén. Odpovedajú častiam ľudského imunoglobulínu. Variabilné alebo hypervariabilné domény pochádzajú z myší alebo potkanov a zvyšné časti - konštantné domény sú kódované ľudskými génmi. Väčšiu časť v protilátke tvorí ľudská bielkovina, až 95%. Ostatné percentá tvorí myšacia bielkovina. Voči takejto humanizovanej monoklonálnej protilátke potom imunitný systém človeka neodpovedá alebo len v slabej miere. Zároveň tým umožní vybrať rôzny izotyp ľudského IgG (IgG1 - 4) a ovplyvniť, aké výkonné funkcie má pripravovaná protilátka zastupovať</w:t>
      </w:r>
      <w:r w:rsidR="00382CAA">
        <w:t>.</w:t>
      </w:r>
      <w:r>
        <w:t xml:space="preserve"> </w:t>
      </w:r>
      <w:r w:rsidRPr="00772406">
        <w:t>(Hořejší a kol., 2009; Cwiertka a kol., 2004</w:t>
      </w:r>
      <w:r w:rsidR="00382CAA">
        <w:t>)</w:t>
      </w:r>
    </w:p>
    <w:p w:rsidR="00A16666" w:rsidRDefault="00A16666" w:rsidP="00A16666">
      <w:pPr>
        <w:spacing w:line="360" w:lineRule="auto"/>
        <w:ind w:firstLine="708"/>
        <w:jc w:val="both"/>
      </w:pPr>
      <w:r>
        <w:t>Z pôvodnej myšacej protilátky si chimerické protilátky ponechali len časť odpovedajúceho fragmentu Fv (fragment variable). U humanizovaných protilátok je zo štruktúry ľudského imunoglobulínu nahradené všetko, okrem krátkych úsekov, ktoré tvoria</w:t>
      </w:r>
    </w:p>
    <w:p w:rsidR="00A16666" w:rsidRPr="00772406" w:rsidRDefault="00A16666" w:rsidP="00A16666">
      <w:pPr>
        <w:spacing w:line="360" w:lineRule="auto"/>
        <w:jc w:val="both"/>
      </w:pPr>
      <w:r>
        <w:t>väzobné miesto, tzv. CDR oblasti (complementarity determinig regions)</w:t>
      </w:r>
      <w:r w:rsidR="00382CAA">
        <w:t>.</w:t>
      </w:r>
      <w:r>
        <w:t xml:space="preserve"> (</w:t>
      </w:r>
      <w:r w:rsidRPr="00772406">
        <w:t>Hořejší a kol.,</w:t>
      </w:r>
    </w:p>
    <w:p w:rsidR="00A16666" w:rsidRPr="00772406" w:rsidRDefault="00A16666" w:rsidP="00A16666">
      <w:pPr>
        <w:spacing w:line="360" w:lineRule="auto"/>
        <w:jc w:val="both"/>
      </w:pPr>
      <w:r w:rsidRPr="00772406">
        <w:t>2009</w:t>
      </w:r>
      <w:r w:rsidR="00382CAA">
        <w:t>)</w:t>
      </w:r>
    </w:p>
    <w:p w:rsidR="00A16666" w:rsidRDefault="00FC0A86" w:rsidP="00A16666">
      <w:pPr>
        <w:pStyle w:val="Nadpis1"/>
        <w:spacing w:line="360" w:lineRule="auto"/>
        <w:jc w:val="both"/>
      </w:pPr>
      <w:bookmarkStart w:id="9" w:name="_Toc66642027"/>
      <w:r>
        <w:t xml:space="preserve">2.3 </w:t>
      </w:r>
      <w:r w:rsidR="00A16666">
        <w:t>Mechanizmus účinku protilátok</w:t>
      </w:r>
      <w:bookmarkEnd w:id="9"/>
    </w:p>
    <w:p w:rsidR="00A16666" w:rsidRDefault="00A16666" w:rsidP="00A16666">
      <w:pPr>
        <w:spacing w:line="360" w:lineRule="auto"/>
        <w:jc w:val="both"/>
        <w:rPr>
          <w:b/>
        </w:rPr>
      </w:pPr>
      <w:r>
        <w:tab/>
        <w:t>Všeobecný mechanizmus pôsobenia protilátok (Ab):</w:t>
      </w:r>
    </w:p>
    <w:p w:rsidR="00A16666" w:rsidRPr="00A16666" w:rsidRDefault="00A16666" w:rsidP="00382CAA">
      <w:pPr>
        <w:spacing w:line="360" w:lineRule="auto"/>
        <w:jc w:val="both"/>
      </w:pPr>
      <w:r>
        <w:rPr>
          <w:i/>
          <w:u w:val="single"/>
        </w:rPr>
        <w:t>1. Neutralizácia</w:t>
      </w:r>
      <w:r>
        <w:t>: Ab blokujú aktivitu toxínu alebo vírusu tým, že sa viažu na epitopy, ktoré sú nevyhnutné pre toxické pôsobenie, respektíve pre adhéziu mikroorganizmu k bunke a k jeho preniknutiu.</w:t>
      </w:r>
    </w:p>
    <w:p w:rsidR="00A16666" w:rsidRPr="00A16666" w:rsidRDefault="00A16666" w:rsidP="00A16666">
      <w:pPr>
        <w:spacing w:line="360" w:lineRule="auto"/>
        <w:ind w:left="708" w:hanging="708"/>
        <w:jc w:val="both"/>
      </w:pPr>
      <w:r>
        <w:rPr>
          <w:i/>
          <w:u w:val="single"/>
        </w:rPr>
        <w:t>2. Opsonizácia</w:t>
      </w:r>
      <w:r>
        <w:t>: Väzba protilátky na mikroorganizmy a antigénne častice umožní ich pohltenie fagocytmi. Dochádza ku aktivácii deštrukčných mechanizmov. Takto opsonizované bunky môžu byť napadnuté aj NK lymfocytmi.</w:t>
      </w:r>
    </w:p>
    <w:p w:rsidR="00A16666" w:rsidRPr="00A16666" w:rsidRDefault="00A16666" w:rsidP="00A16666">
      <w:pPr>
        <w:spacing w:line="360" w:lineRule="auto"/>
        <w:ind w:left="708" w:hanging="708"/>
        <w:jc w:val="both"/>
      </w:pPr>
      <w:r>
        <w:rPr>
          <w:i/>
          <w:u w:val="single"/>
        </w:rPr>
        <w:t>3. Aktivácia komponentu</w:t>
      </w:r>
      <w:r>
        <w:t xml:space="preserve">: Protilátky naviazané na antigén spúšťajú klasickú cestu komponentu. To prispieva ku opsonizácii, chemotaxii fagocytov a ku rozvoju zápalovej reakcie. U citlivých mikroorganizmov môže dôjsť až ku osmotickej lýze </w:t>
      </w:r>
      <w:r>
        <w:lastRenderedPageBreak/>
        <w:t>membranolytickým komplexom komplementu. Komplement neaktivujú ľudské protilátky typu IgG4 a IgA.</w:t>
      </w:r>
    </w:p>
    <w:p w:rsidR="00A16666" w:rsidRPr="00772406" w:rsidRDefault="00A16666" w:rsidP="00A16666">
      <w:pPr>
        <w:spacing w:line="360" w:lineRule="auto"/>
        <w:ind w:left="708" w:hanging="708"/>
        <w:jc w:val="both"/>
      </w:pPr>
      <w:r>
        <w:rPr>
          <w:i/>
          <w:u w:val="single"/>
        </w:rPr>
        <w:t>4. Indukcia</w:t>
      </w:r>
      <w:r>
        <w:t xml:space="preserve">: Väzba protilátky na určitý povrchový bunkový receptor môže vyvolať v cieľovej bunke aktiváciu apoptózy, čo je programovaná smrť bunky. </w:t>
      </w:r>
      <w:r w:rsidRPr="00772406">
        <w:t>(Hořejší a kol., 2009)</w:t>
      </w:r>
    </w:p>
    <w:p w:rsidR="00F33FEF" w:rsidRDefault="00FC0A86" w:rsidP="00A16666">
      <w:pPr>
        <w:pStyle w:val="Nadpis1"/>
        <w:spacing w:line="360" w:lineRule="auto"/>
        <w:jc w:val="both"/>
      </w:pPr>
      <w:bookmarkStart w:id="10" w:name="_Toc66642028"/>
      <w:r>
        <w:t xml:space="preserve">2.4 </w:t>
      </w:r>
      <w:r w:rsidR="00A16666">
        <w:t>Názvoslovie mAb</w:t>
      </w:r>
      <w:bookmarkEnd w:id="10"/>
    </w:p>
    <w:p w:rsidR="00A16666" w:rsidRPr="00772406" w:rsidRDefault="00A16666" w:rsidP="00A16666">
      <w:pPr>
        <w:spacing w:line="360" w:lineRule="auto"/>
        <w:jc w:val="both"/>
      </w:pPr>
      <w:r>
        <w:tab/>
        <w:t xml:space="preserve">Názvoslovie monoklonálnych prilátok je tvorené na základe ich pôvodu. Prípona „-mab“ sa používa pre monoklonálne protilátky alebo ich fragmenty. </w:t>
      </w:r>
      <w:r w:rsidRPr="00772406">
        <w:t xml:space="preserve">(Pružinec a kol., 2007). </w:t>
      </w:r>
    </w:p>
    <w:p w:rsidR="00A16666" w:rsidRDefault="00A16666" w:rsidP="00A16666">
      <w:pPr>
        <w:spacing w:line="360" w:lineRule="auto"/>
        <w:jc w:val="both"/>
      </w:pPr>
      <w:r>
        <w:tab/>
        <w:t xml:space="preserve">Ďalej si uvedieme tabuľku podľa </w:t>
      </w:r>
      <w:r w:rsidRPr="00772406">
        <w:t>Pružinec a kol. z roku 2007.</w:t>
      </w:r>
    </w:p>
    <w:p w:rsidR="00A16666" w:rsidRPr="00A16666" w:rsidRDefault="00A16666" w:rsidP="00A16666">
      <w:pPr>
        <w:spacing w:line="360" w:lineRule="auto"/>
        <w:jc w:val="both"/>
      </w:pPr>
      <w:r>
        <w:t>Tab. č.</w:t>
      </w:r>
      <w:r w:rsidR="00FC0A86">
        <w:t>3</w:t>
      </w:r>
      <w:r>
        <w:t xml:space="preserve"> Názvoslovie monoklonálnych protilátok </w:t>
      </w:r>
      <w:r w:rsidRPr="00772406">
        <w:t>(Pružinec a kol., 2007)</w:t>
      </w:r>
    </w:p>
    <w:tbl>
      <w:tblPr>
        <w:tblW w:w="0" w:type="auto"/>
        <w:tblInd w:w="514" w:type="dxa"/>
        <w:tbl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blBorders>
        <w:tblLook w:val="04A0" w:firstRow="1" w:lastRow="0" w:firstColumn="1" w:lastColumn="0" w:noHBand="0" w:noVBand="1"/>
      </w:tblPr>
      <w:tblGrid>
        <w:gridCol w:w="1101"/>
        <w:gridCol w:w="2604"/>
        <w:gridCol w:w="4341"/>
      </w:tblGrid>
      <w:tr w:rsidR="00A16666" w:rsidTr="00A70D18">
        <w:tc>
          <w:tcPr>
            <w:tcW w:w="1101" w:type="dxa"/>
            <w:shd w:val="clear" w:color="auto" w:fill="365F91" w:themeFill="accent1" w:themeFillShade="BF"/>
          </w:tcPr>
          <w:p w:rsidR="00A16666" w:rsidRDefault="00A16666" w:rsidP="00A16666">
            <w:pPr>
              <w:spacing w:line="276" w:lineRule="auto"/>
              <w:jc w:val="both"/>
            </w:pPr>
            <w:r>
              <w:t>Písmeno</w:t>
            </w:r>
          </w:p>
        </w:tc>
        <w:tc>
          <w:tcPr>
            <w:tcW w:w="2604" w:type="dxa"/>
            <w:shd w:val="clear" w:color="auto" w:fill="365F91" w:themeFill="accent1" w:themeFillShade="BF"/>
          </w:tcPr>
          <w:p w:rsidR="00A16666" w:rsidRPr="00A70D18" w:rsidRDefault="00A16666" w:rsidP="00A70D18">
            <w:pPr>
              <w:spacing w:line="276" w:lineRule="auto"/>
              <w:jc w:val="center"/>
              <w:rPr>
                <w:b/>
              </w:rPr>
            </w:pPr>
            <w:r w:rsidRPr="00A70D18">
              <w:rPr>
                <w:b/>
              </w:rPr>
              <w:t>Anglický názov</w:t>
            </w:r>
          </w:p>
        </w:tc>
        <w:tc>
          <w:tcPr>
            <w:tcW w:w="4341" w:type="dxa"/>
            <w:shd w:val="clear" w:color="auto" w:fill="365F91" w:themeFill="accent1" w:themeFillShade="BF"/>
          </w:tcPr>
          <w:p w:rsidR="00A16666" w:rsidRPr="00A70D18" w:rsidRDefault="00A16666" w:rsidP="00A70D18">
            <w:pPr>
              <w:spacing w:line="276" w:lineRule="auto"/>
              <w:jc w:val="center"/>
              <w:rPr>
                <w:b/>
              </w:rPr>
            </w:pPr>
            <w:r w:rsidRPr="00A70D18">
              <w:rPr>
                <w:b/>
              </w:rPr>
              <w:t>Slovenský preklad</w:t>
            </w:r>
          </w:p>
        </w:tc>
      </w:tr>
      <w:tr w:rsidR="00A16666" w:rsidTr="00A70D18">
        <w:tc>
          <w:tcPr>
            <w:tcW w:w="1101" w:type="dxa"/>
            <w:shd w:val="clear" w:color="auto" w:fill="365F91" w:themeFill="accent1" w:themeFillShade="BF"/>
          </w:tcPr>
          <w:p w:rsidR="00A16666" w:rsidRPr="00A70D18" w:rsidRDefault="00A16666" w:rsidP="00A70D18">
            <w:pPr>
              <w:spacing w:line="276" w:lineRule="auto"/>
              <w:jc w:val="center"/>
              <w:rPr>
                <w:color w:val="FFFFFF" w:themeColor="background1"/>
              </w:rPr>
            </w:pPr>
            <w:r w:rsidRPr="00A70D18">
              <w:rPr>
                <w:color w:val="FFFFFF" w:themeColor="background1"/>
              </w:rPr>
              <w:t>u</w:t>
            </w:r>
          </w:p>
        </w:tc>
        <w:tc>
          <w:tcPr>
            <w:tcW w:w="2604" w:type="dxa"/>
            <w:shd w:val="clear" w:color="auto" w:fill="95B3D7" w:themeFill="accent1" w:themeFillTint="99"/>
          </w:tcPr>
          <w:p w:rsidR="00A16666" w:rsidRDefault="00A16666" w:rsidP="00A70D18">
            <w:pPr>
              <w:spacing w:line="276" w:lineRule="auto"/>
              <w:jc w:val="center"/>
            </w:pPr>
            <w:r>
              <w:t>human</w:t>
            </w:r>
          </w:p>
        </w:tc>
        <w:tc>
          <w:tcPr>
            <w:tcW w:w="4341" w:type="dxa"/>
            <w:shd w:val="clear" w:color="auto" w:fill="95B3D7" w:themeFill="accent1" w:themeFillTint="99"/>
          </w:tcPr>
          <w:p w:rsidR="00A16666" w:rsidRDefault="00A16666" w:rsidP="00A70D18">
            <w:pPr>
              <w:spacing w:line="276" w:lineRule="auto"/>
              <w:jc w:val="center"/>
            </w:pPr>
            <w:r>
              <w:t>ľudský</w:t>
            </w:r>
          </w:p>
        </w:tc>
      </w:tr>
      <w:tr w:rsidR="00A16666" w:rsidTr="00A70D18">
        <w:tc>
          <w:tcPr>
            <w:tcW w:w="1101" w:type="dxa"/>
            <w:shd w:val="clear" w:color="auto" w:fill="365F91" w:themeFill="accent1" w:themeFillShade="BF"/>
          </w:tcPr>
          <w:p w:rsidR="00A16666" w:rsidRPr="00A70D18" w:rsidRDefault="00A16666" w:rsidP="00A70D18">
            <w:pPr>
              <w:spacing w:line="276" w:lineRule="auto"/>
              <w:jc w:val="center"/>
              <w:rPr>
                <w:color w:val="FFFFFF" w:themeColor="background1"/>
              </w:rPr>
            </w:pPr>
            <w:r w:rsidRPr="00A70D18">
              <w:rPr>
                <w:color w:val="FFFFFF" w:themeColor="background1"/>
              </w:rPr>
              <w:t>o</w:t>
            </w:r>
          </w:p>
        </w:tc>
        <w:tc>
          <w:tcPr>
            <w:tcW w:w="2604" w:type="dxa"/>
            <w:shd w:val="clear" w:color="auto" w:fill="B8CCE4" w:themeFill="accent1" w:themeFillTint="66"/>
          </w:tcPr>
          <w:p w:rsidR="00A16666" w:rsidRDefault="00A16666" w:rsidP="00A70D18">
            <w:pPr>
              <w:spacing w:line="276" w:lineRule="auto"/>
              <w:jc w:val="center"/>
            </w:pPr>
            <w:r>
              <w:t>mouse</w:t>
            </w:r>
          </w:p>
        </w:tc>
        <w:tc>
          <w:tcPr>
            <w:tcW w:w="4341" w:type="dxa"/>
            <w:shd w:val="clear" w:color="auto" w:fill="B8CCE4" w:themeFill="accent1" w:themeFillTint="66"/>
          </w:tcPr>
          <w:p w:rsidR="00A16666" w:rsidRDefault="00A16666" w:rsidP="00A70D18">
            <w:pPr>
              <w:spacing w:line="276" w:lineRule="auto"/>
              <w:jc w:val="center"/>
            </w:pPr>
            <w:r>
              <w:t>myšací</w:t>
            </w:r>
          </w:p>
        </w:tc>
      </w:tr>
      <w:tr w:rsidR="00A16666" w:rsidTr="00A70D18">
        <w:tc>
          <w:tcPr>
            <w:tcW w:w="1101" w:type="dxa"/>
            <w:shd w:val="clear" w:color="auto" w:fill="365F91" w:themeFill="accent1" w:themeFillShade="BF"/>
          </w:tcPr>
          <w:p w:rsidR="00A16666" w:rsidRPr="00A70D18" w:rsidRDefault="00A16666" w:rsidP="00A70D18">
            <w:pPr>
              <w:spacing w:line="276" w:lineRule="auto"/>
              <w:jc w:val="center"/>
              <w:rPr>
                <w:color w:val="FFFFFF" w:themeColor="background1"/>
              </w:rPr>
            </w:pPr>
            <w:r w:rsidRPr="00A70D18">
              <w:rPr>
                <w:color w:val="FFFFFF" w:themeColor="background1"/>
              </w:rPr>
              <w:t>a</w:t>
            </w:r>
          </w:p>
        </w:tc>
        <w:tc>
          <w:tcPr>
            <w:tcW w:w="2604" w:type="dxa"/>
            <w:shd w:val="clear" w:color="auto" w:fill="95B3D7" w:themeFill="accent1" w:themeFillTint="99"/>
          </w:tcPr>
          <w:p w:rsidR="00A16666" w:rsidRDefault="00A16666" w:rsidP="00A70D18">
            <w:pPr>
              <w:spacing w:line="276" w:lineRule="auto"/>
              <w:jc w:val="center"/>
            </w:pPr>
            <w:r>
              <w:t>rat</w:t>
            </w:r>
          </w:p>
        </w:tc>
        <w:tc>
          <w:tcPr>
            <w:tcW w:w="4341" w:type="dxa"/>
            <w:shd w:val="clear" w:color="auto" w:fill="95B3D7" w:themeFill="accent1" w:themeFillTint="99"/>
          </w:tcPr>
          <w:p w:rsidR="00A16666" w:rsidRDefault="00A16666" w:rsidP="00A70D18">
            <w:pPr>
              <w:spacing w:line="276" w:lineRule="auto"/>
              <w:jc w:val="center"/>
            </w:pPr>
            <w:r>
              <w:t>potkaní</w:t>
            </w:r>
          </w:p>
        </w:tc>
      </w:tr>
      <w:tr w:rsidR="00A16666" w:rsidTr="00A70D18">
        <w:tc>
          <w:tcPr>
            <w:tcW w:w="1101" w:type="dxa"/>
            <w:shd w:val="clear" w:color="auto" w:fill="365F91" w:themeFill="accent1" w:themeFillShade="BF"/>
          </w:tcPr>
          <w:p w:rsidR="00A16666" w:rsidRPr="00A70D18" w:rsidRDefault="00A16666" w:rsidP="00A70D18">
            <w:pPr>
              <w:spacing w:line="276" w:lineRule="auto"/>
              <w:jc w:val="center"/>
              <w:rPr>
                <w:color w:val="FFFFFF" w:themeColor="background1"/>
              </w:rPr>
            </w:pPr>
            <w:r w:rsidRPr="00A70D18">
              <w:rPr>
                <w:color w:val="FFFFFF" w:themeColor="background1"/>
              </w:rPr>
              <w:t>zu</w:t>
            </w:r>
          </w:p>
        </w:tc>
        <w:tc>
          <w:tcPr>
            <w:tcW w:w="2604" w:type="dxa"/>
            <w:shd w:val="clear" w:color="auto" w:fill="B8CCE4" w:themeFill="accent1" w:themeFillTint="66"/>
          </w:tcPr>
          <w:p w:rsidR="00A16666" w:rsidRDefault="00A16666" w:rsidP="00A70D18">
            <w:pPr>
              <w:spacing w:line="276" w:lineRule="auto"/>
              <w:jc w:val="center"/>
            </w:pPr>
            <w:r>
              <w:t>humanized</w:t>
            </w:r>
          </w:p>
        </w:tc>
        <w:tc>
          <w:tcPr>
            <w:tcW w:w="4341" w:type="dxa"/>
            <w:shd w:val="clear" w:color="auto" w:fill="B8CCE4" w:themeFill="accent1" w:themeFillTint="66"/>
          </w:tcPr>
          <w:p w:rsidR="00A16666" w:rsidRDefault="00A16666" w:rsidP="00A70D18">
            <w:pPr>
              <w:spacing w:line="276" w:lineRule="auto"/>
              <w:jc w:val="center"/>
            </w:pPr>
            <w:r>
              <w:t>humanizovaný</w:t>
            </w:r>
          </w:p>
        </w:tc>
      </w:tr>
      <w:tr w:rsidR="00A16666" w:rsidTr="00A70D18">
        <w:tc>
          <w:tcPr>
            <w:tcW w:w="1101" w:type="dxa"/>
            <w:shd w:val="clear" w:color="auto" w:fill="365F91" w:themeFill="accent1" w:themeFillShade="BF"/>
          </w:tcPr>
          <w:p w:rsidR="00A16666" w:rsidRPr="00A70D18" w:rsidRDefault="00A16666" w:rsidP="00A70D18">
            <w:pPr>
              <w:spacing w:line="276" w:lineRule="auto"/>
              <w:jc w:val="center"/>
              <w:rPr>
                <w:color w:val="FFFFFF" w:themeColor="background1"/>
              </w:rPr>
            </w:pPr>
            <w:r w:rsidRPr="00A70D18">
              <w:rPr>
                <w:color w:val="FFFFFF" w:themeColor="background1"/>
              </w:rPr>
              <w:t>e</w:t>
            </w:r>
          </w:p>
        </w:tc>
        <w:tc>
          <w:tcPr>
            <w:tcW w:w="2604" w:type="dxa"/>
            <w:shd w:val="clear" w:color="auto" w:fill="95B3D7" w:themeFill="accent1" w:themeFillTint="99"/>
          </w:tcPr>
          <w:p w:rsidR="00A16666" w:rsidRDefault="00A16666" w:rsidP="00A70D18">
            <w:pPr>
              <w:spacing w:line="276" w:lineRule="auto"/>
              <w:jc w:val="center"/>
            </w:pPr>
            <w:r>
              <w:t>hamster</w:t>
            </w:r>
          </w:p>
        </w:tc>
        <w:tc>
          <w:tcPr>
            <w:tcW w:w="4341" w:type="dxa"/>
            <w:shd w:val="clear" w:color="auto" w:fill="95B3D7" w:themeFill="accent1" w:themeFillTint="99"/>
          </w:tcPr>
          <w:p w:rsidR="00A16666" w:rsidRDefault="00A16666" w:rsidP="00A70D18">
            <w:pPr>
              <w:spacing w:line="276" w:lineRule="auto"/>
              <w:jc w:val="center"/>
            </w:pPr>
            <w:r>
              <w:t>škrečok</w:t>
            </w:r>
          </w:p>
        </w:tc>
      </w:tr>
      <w:tr w:rsidR="00A16666" w:rsidTr="00A70D18">
        <w:tc>
          <w:tcPr>
            <w:tcW w:w="1101" w:type="dxa"/>
            <w:shd w:val="clear" w:color="auto" w:fill="365F91" w:themeFill="accent1" w:themeFillShade="BF"/>
          </w:tcPr>
          <w:p w:rsidR="00A16666" w:rsidRPr="00A70D18" w:rsidRDefault="00A16666" w:rsidP="00A70D18">
            <w:pPr>
              <w:spacing w:line="276" w:lineRule="auto"/>
              <w:jc w:val="center"/>
              <w:rPr>
                <w:color w:val="FFFFFF" w:themeColor="background1"/>
              </w:rPr>
            </w:pPr>
            <w:r w:rsidRPr="00A70D18">
              <w:rPr>
                <w:color w:val="FFFFFF" w:themeColor="background1"/>
              </w:rPr>
              <w:t>i</w:t>
            </w:r>
          </w:p>
        </w:tc>
        <w:tc>
          <w:tcPr>
            <w:tcW w:w="2604" w:type="dxa"/>
            <w:shd w:val="clear" w:color="auto" w:fill="B8CCE4" w:themeFill="accent1" w:themeFillTint="66"/>
          </w:tcPr>
          <w:p w:rsidR="00A16666" w:rsidRDefault="00A16666" w:rsidP="00A70D18">
            <w:pPr>
              <w:spacing w:line="276" w:lineRule="auto"/>
              <w:jc w:val="center"/>
            </w:pPr>
            <w:r>
              <w:t>primate</w:t>
            </w:r>
          </w:p>
        </w:tc>
        <w:tc>
          <w:tcPr>
            <w:tcW w:w="4341" w:type="dxa"/>
            <w:shd w:val="clear" w:color="auto" w:fill="B8CCE4" w:themeFill="accent1" w:themeFillTint="66"/>
          </w:tcPr>
          <w:p w:rsidR="00A16666" w:rsidRDefault="00A16666" w:rsidP="00A70D18">
            <w:pPr>
              <w:spacing w:line="276" w:lineRule="auto"/>
              <w:jc w:val="center"/>
            </w:pPr>
            <w:r>
              <w:t>primátí</w:t>
            </w:r>
          </w:p>
        </w:tc>
      </w:tr>
      <w:tr w:rsidR="00A16666" w:rsidTr="00A70D18">
        <w:tc>
          <w:tcPr>
            <w:tcW w:w="1101" w:type="dxa"/>
            <w:shd w:val="clear" w:color="auto" w:fill="365F91" w:themeFill="accent1" w:themeFillShade="BF"/>
          </w:tcPr>
          <w:p w:rsidR="00A16666" w:rsidRPr="00A70D18" w:rsidRDefault="00A16666" w:rsidP="00A70D18">
            <w:pPr>
              <w:spacing w:line="276" w:lineRule="auto"/>
              <w:jc w:val="center"/>
              <w:rPr>
                <w:color w:val="FFFFFF" w:themeColor="background1"/>
              </w:rPr>
            </w:pPr>
            <w:r w:rsidRPr="00A70D18">
              <w:rPr>
                <w:color w:val="FFFFFF" w:themeColor="background1"/>
              </w:rPr>
              <w:t>xi</w:t>
            </w:r>
          </w:p>
        </w:tc>
        <w:tc>
          <w:tcPr>
            <w:tcW w:w="2604" w:type="dxa"/>
            <w:shd w:val="clear" w:color="auto" w:fill="95B3D7" w:themeFill="accent1" w:themeFillTint="99"/>
          </w:tcPr>
          <w:p w:rsidR="00A16666" w:rsidRDefault="00A16666" w:rsidP="00A70D18">
            <w:pPr>
              <w:spacing w:line="276" w:lineRule="auto"/>
              <w:jc w:val="center"/>
            </w:pPr>
            <w:r>
              <w:t>chimera</w:t>
            </w:r>
          </w:p>
        </w:tc>
        <w:tc>
          <w:tcPr>
            <w:tcW w:w="4341" w:type="dxa"/>
            <w:shd w:val="clear" w:color="auto" w:fill="95B3D7" w:themeFill="accent1" w:themeFillTint="99"/>
          </w:tcPr>
          <w:p w:rsidR="00A16666" w:rsidRDefault="00A16666" w:rsidP="00A70D18">
            <w:pPr>
              <w:spacing w:line="276" w:lineRule="auto"/>
              <w:jc w:val="center"/>
            </w:pPr>
            <w:r>
              <w:t>chimerovaný</w:t>
            </w:r>
          </w:p>
        </w:tc>
      </w:tr>
    </w:tbl>
    <w:p w:rsidR="00F33FEF" w:rsidRDefault="00F33FEF" w:rsidP="00A16666">
      <w:pPr>
        <w:spacing w:line="276" w:lineRule="auto"/>
        <w:jc w:val="both"/>
      </w:pPr>
    </w:p>
    <w:tbl>
      <w:tblPr>
        <w:tblpPr w:leftFromText="141" w:rightFromText="141" w:vertAnchor="page" w:horzAnchor="margin" w:tblpY="9537"/>
        <w:tblOverlap w:val="never"/>
        <w:tblW w:w="8794"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shd w:val="clear" w:color="auto" w:fill="95B3D7"/>
        <w:tblLook w:val="04A0" w:firstRow="1" w:lastRow="0" w:firstColumn="1" w:lastColumn="0" w:noHBand="0" w:noVBand="1"/>
      </w:tblPr>
      <w:tblGrid>
        <w:gridCol w:w="4397"/>
        <w:gridCol w:w="4397"/>
      </w:tblGrid>
      <w:tr w:rsidR="00C13927" w:rsidTr="00C13927">
        <w:trPr>
          <w:trHeight w:val="377"/>
        </w:trPr>
        <w:tc>
          <w:tcPr>
            <w:tcW w:w="4397" w:type="dxa"/>
            <w:shd w:val="clear" w:color="auto" w:fill="95B3D7"/>
          </w:tcPr>
          <w:p w:rsidR="00C13927" w:rsidRDefault="00C13927" w:rsidP="00C13927">
            <w:pPr>
              <w:spacing w:line="276" w:lineRule="auto"/>
              <w:jc w:val="both"/>
            </w:pPr>
            <w:r>
              <w:t>Umab</w:t>
            </w:r>
          </w:p>
        </w:tc>
        <w:tc>
          <w:tcPr>
            <w:tcW w:w="4397" w:type="dxa"/>
            <w:shd w:val="clear" w:color="auto" w:fill="95B3D7"/>
          </w:tcPr>
          <w:p w:rsidR="00C13927" w:rsidRDefault="00C13927" w:rsidP="00C13927">
            <w:pPr>
              <w:spacing w:line="276" w:lineRule="auto"/>
              <w:jc w:val="both"/>
            </w:pPr>
            <w:r>
              <w:t>ľudský</w:t>
            </w:r>
          </w:p>
        </w:tc>
      </w:tr>
      <w:tr w:rsidR="00C13927" w:rsidTr="00C13927">
        <w:trPr>
          <w:trHeight w:val="721"/>
        </w:trPr>
        <w:tc>
          <w:tcPr>
            <w:tcW w:w="4397" w:type="dxa"/>
            <w:shd w:val="clear" w:color="auto" w:fill="B8CCE4"/>
          </w:tcPr>
          <w:p w:rsidR="00C13927" w:rsidRDefault="00C13927" w:rsidP="00C13927">
            <w:pPr>
              <w:spacing w:line="276" w:lineRule="auto"/>
              <w:jc w:val="both"/>
            </w:pPr>
            <w:r>
              <w:t>Omab</w:t>
            </w:r>
          </w:p>
        </w:tc>
        <w:tc>
          <w:tcPr>
            <w:tcW w:w="4397" w:type="dxa"/>
            <w:shd w:val="clear" w:color="auto" w:fill="B8CCE4"/>
          </w:tcPr>
          <w:p w:rsidR="00C13927" w:rsidRDefault="00C13927" w:rsidP="00C13927">
            <w:pPr>
              <w:spacing w:line="276" w:lineRule="auto"/>
              <w:jc w:val="both"/>
            </w:pPr>
            <w:r>
              <w:t>myšací</w:t>
            </w:r>
          </w:p>
        </w:tc>
      </w:tr>
      <w:tr w:rsidR="00C13927" w:rsidTr="00C13927">
        <w:trPr>
          <w:trHeight w:val="402"/>
        </w:trPr>
        <w:tc>
          <w:tcPr>
            <w:tcW w:w="4397" w:type="dxa"/>
            <w:shd w:val="clear" w:color="auto" w:fill="95B3D7"/>
          </w:tcPr>
          <w:p w:rsidR="00C13927" w:rsidRDefault="00C13927" w:rsidP="00C13927">
            <w:pPr>
              <w:spacing w:line="276" w:lineRule="auto"/>
              <w:jc w:val="both"/>
            </w:pPr>
            <w:r>
              <w:t>Xmab</w:t>
            </w:r>
          </w:p>
        </w:tc>
        <w:tc>
          <w:tcPr>
            <w:tcW w:w="4397" w:type="dxa"/>
            <w:shd w:val="clear" w:color="auto" w:fill="95B3D7"/>
          </w:tcPr>
          <w:p w:rsidR="00C13927" w:rsidRDefault="00C13927" w:rsidP="00C13927">
            <w:pPr>
              <w:spacing w:line="276" w:lineRule="auto"/>
              <w:jc w:val="both"/>
            </w:pPr>
            <w:r>
              <w:t>chimerovaný</w:t>
            </w:r>
          </w:p>
        </w:tc>
      </w:tr>
      <w:tr w:rsidR="00C13927" w:rsidTr="00C13927">
        <w:trPr>
          <w:trHeight w:val="402"/>
        </w:trPr>
        <w:tc>
          <w:tcPr>
            <w:tcW w:w="4397" w:type="dxa"/>
            <w:shd w:val="clear" w:color="auto" w:fill="B8CCE4"/>
          </w:tcPr>
          <w:p w:rsidR="00C13927" w:rsidRDefault="00C13927" w:rsidP="00C13927">
            <w:pPr>
              <w:spacing w:line="276" w:lineRule="auto"/>
              <w:jc w:val="both"/>
            </w:pPr>
            <w:r>
              <w:t>Zumab</w:t>
            </w:r>
          </w:p>
        </w:tc>
        <w:tc>
          <w:tcPr>
            <w:tcW w:w="4397" w:type="dxa"/>
            <w:shd w:val="clear" w:color="auto" w:fill="B8CCE4"/>
          </w:tcPr>
          <w:p w:rsidR="00C13927" w:rsidRDefault="00C13927" w:rsidP="00C13927">
            <w:pPr>
              <w:spacing w:line="276" w:lineRule="auto"/>
              <w:jc w:val="both"/>
            </w:pPr>
            <w:r>
              <w:t>humanizovaný</w:t>
            </w:r>
          </w:p>
        </w:tc>
      </w:tr>
    </w:tbl>
    <w:p w:rsidR="00F33FEF" w:rsidRPr="00772406" w:rsidRDefault="00A16666" w:rsidP="00A16666">
      <w:pPr>
        <w:spacing w:line="276" w:lineRule="auto"/>
        <w:jc w:val="both"/>
      </w:pPr>
      <w:r>
        <w:t xml:space="preserve">Tab. č. </w:t>
      </w:r>
      <w:r w:rsidR="00FC0A86">
        <w:t>4</w:t>
      </w:r>
      <w:r>
        <w:t xml:space="preserve">. Sufix určujúci pôvod monoklonálnych protilátok </w:t>
      </w:r>
      <w:r w:rsidRPr="00772406">
        <w:t>(Pružinec a kol., 2007)</w:t>
      </w:r>
    </w:p>
    <w:p w:rsidR="00A16666" w:rsidRDefault="00FC0A86" w:rsidP="00016367">
      <w:pPr>
        <w:pStyle w:val="Nadpis1"/>
        <w:spacing w:line="360" w:lineRule="auto"/>
      </w:pPr>
      <w:bookmarkStart w:id="11" w:name="_Toc66376106"/>
      <w:bookmarkStart w:id="12" w:name="_Toc66642029"/>
      <w:r>
        <w:t xml:space="preserve">2.5 </w:t>
      </w:r>
      <w:r w:rsidR="00016367">
        <w:t>Príprava mAb</w:t>
      </w:r>
      <w:bookmarkEnd w:id="12"/>
    </w:p>
    <w:p w:rsidR="00016367" w:rsidRDefault="00016367" w:rsidP="00016367">
      <w:pPr>
        <w:spacing w:line="360" w:lineRule="auto"/>
        <w:ind w:firstLine="708"/>
        <w:jc w:val="both"/>
      </w:pPr>
      <w:r>
        <w:t xml:space="preserve">Princíp prípravy humanizovaných monoklonálnych protilátok tkvie v prepojení hybridómovej a DNA (deoxyribonukleová kyselina) rekombinantnej technológie. Najskôr sa získava myšacia monoklonálna protilátka klasickou hybridómovou technológiou. Z tejto hybridómovej línie, ktorá produkuje protilátku s požadovanou špecificitou sa pripraví RNA (ribonukleová kyselina). Z RNA sa následne reverznou transkripciou pripraví cDNA (komplementáma DNA). Ďalej sa pomocou polymerázovej reťazovej reakcie amplifikujú úseky génov myšacieho imunoglobulínu. Tie kódujú hypervariabilné domény CDR. Touto </w:t>
      </w:r>
      <w:r>
        <w:lastRenderedPageBreak/>
        <w:t>časťou genetickej informácie sa nahradia CDR domény ľudského imunoglobulínu. Chimérne gény kódujúce humanizovanú monoklonálnu protilátku sú nakoniec vložené do vhodnej cicavčej bunky, v ktorej sa vel'kokapacitne syntetizujú. Humanizované monoklonálne protilátky teda nesú variabilné úseky, ktoré kódujú antigénnu špecificitu z myšacej monoklonálnej protilátky a konštantné úseky z ľudského imunoglobulinu. Takto pripravené protilátky majú požadovanú antigén</w:t>
      </w:r>
      <w:r w:rsidR="00045072">
        <w:t>nu špecificitu a sú minimálne im</w:t>
      </w:r>
      <w:r>
        <w:t>unogénne</w:t>
      </w:r>
      <w:r w:rsidR="00045072">
        <w:t>.</w:t>
      </w:r>
      <w:r>
        <w:t xml:space="preserve"> </w:t>
      </w:r>
      <w:r w:rsidRPr="00772406">
        <w:t>(Cwiertka a kol., 2004)</w:t>
      </w:r>
    </w:p>
    <w:p w:rsidR="00016367" w:rsidRDefault="00FC0A86" w:rsidP="00045072">
      <w:pPr>
        <w:pStyle w:val="Nadpis1"/>
        <w:spacing w:line="360" w:lineRule="auto"/>
      </w:pPr>
      <w:bookmarkStart w:id="13" w:name="_Toc66642030"/>
      <w:r>
        <w:t xml:space="preserve">2.6 </w:t>
      </w:r>
      <w:r w:rsidR="00016367">
        <w:t>Rozdelenie mAb</w:t>
      </w:r>
      <w:bookmarkEnd w:id="13"/>
    </w:p>
    <w:p w:rsidR="00045072" w:rsidRDefault="00045072" w:rsidP="00045072">
      <w:pPr>
        <w:spacing w:line="360" w:lineRule="auto"/>
        <w:jc w:val="both"/>
      </w:pPr>
      <w:r>
        <w:tab/>
        <w:t xml:space="preserve">Existuje viacero delení monoklonálnych protilátok. </w:t>
      </w:r>
    </w:p>
    <w:p w:rsidR="00016367" w:rsidRPr="003104B5" w:rsidRDefault="00045072" w:rsidP="00045072">
      <w:pPr>
        <w:spacing w:line="360" w:lineRule="auto"/>
        <w:jc w:val="both"/>
      </w:pPr>
      <w:r w:rsidRPr="003104B5">
        <w:rPr>
          <w:i/>
        </w:rPr>
        <w:t>A.</w:t>
      </w:r>
      <w:r>
        <w:t xml:space="preserve"> </w:t>
      </w:r>
      <w:r w:rsidR="003104B5">
        <w:t>Delenie mAb na</w:t>
      </w:r>
      <w:r>
        <w:t xml:space="preserve"> základe ich pôvodu a spôsobu prípravy pomocou rekombinantných techník.</w:t>
      </w:r>
      <w:r w:rsidR="003104B5">
        <w:t xml:space="preserve"> </w:t>
      </w:r>
      <w:r w:rsidR="003104B5" w:rsidRPr="00772406">
        <w:t>(Slíva a kol., 2011)</w:t>
      </w:r>
    </w:p>
    <w:p w:rsidR="00045072" w:rsidRDefault="00FC0A86" w:rsidP="00045072">
      <w:pPr>
        <w:spacing w:line="360" w:lineRule="auto"/>
        <w:jc w:val="both"/>
      </w:pPr>
      <w:r>
        <w:t>Tab. č. 5</w:t>
      </w:r>
      <w:r w:rsidR="00045072">
        <w:t>. Rozdelenie, charakteristika a genetické zakončenie mAb</w:t>
      </w:r>
      <w:r w:rsidR="003104B5">
        <w:t xml:space="preserve"> </w:t>
      </w:r>
      <w:r w:rsidR="003104B5" w:rsidRPr="00772406">
        <w:t>(Slíva a kol., 2011)</w:t>
      </w:r>
    </w:p>
    <w:p w:rsidR="00045072" w:rsidRDefault="00045072" w:rsidP="00045072">
      <w:pPr>
        <w:spacing w:line="360" w:lineRule="auto"/>
        <w:jc w:val="both"/>
      </w:pPr>
    </w:p>
    <w:tbl>
      <w:tblPr>
        <w:tblStyle w:val="Mkatabulky"/>
        <w:tblW w:w="9901"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tblLook w:val="04A0" w:firstRow="1" w:lastRow="0" w:firstColumn="1" w:lastColumn="0" w:noHBand="0" w:noVBand="1"/>
      </w:tblPr>
      <w:tblGrid>
        <w:gridCol w:w="3300"/>
        <w:gridCol w:w="3300"/>
        <w:gridCol w:w="3301"/>
      </w:tblGrid>
      <w:tr w:rsidR="00045072" w:rsidTr="00A70D18">
        <w:trPr>
          <w:trHeight w:val="515"/>
        </w:trPr>
        <w:tc>
          <w:tcPr>
            <w:tcW w:w="3300" w:type="dxa"/>
            <w:shd w:val="clear" w:color="auto" w:fill="365F91" w:themeFill="accent1" w:themeFillShade="BF"/>
          </w:tcPr>
          <w:p w:rsidR="00045072" w:rsidRDefault="00045072" w:rsidP="00045072">
            <w:pPr>
              <w:spacing w:line="360" w:lineRule="auto"/>
              <w:jc w:val="center"/>
            </w:pPr>
            <w:r>
              <w:t>Názov</w:t>
            </w:r>
          </w:p>
        </w:tc>
        <w:tc>
          <w:tcPr>
            <w:tcW w:w="3300" w:type="dxa"/>
            <w:shd w:val="clear" w:color="auto" w:fill="365F91" w:themeFill="accent1" w:themeFillShade="BF"/>
          </w:tcPr>
          <w:p w:rsidR="00045072" w:rsidRDefault="00045072" w:rsidP="00045072">
            <w:pPr>
              <w:spacing w:line="360" w:lineRule="auto"/>
              <w:jc w:val="center"/>
            </w:pPr>
            <w:r>
              <w:t>Charakteristika</w:t>
            </w:r>
          </w:p>
        </w:tc>
        <w:tc>
          <w:tcPr>
            <w:tcW w:w="3301" w:type="dxa"/>
            <w:shd w:val="clear" w:color="auto" w:fill="365F91" w:themeFill="accent1" w:themeFillShade="BF"/>
          </w:tcPr>
          <w:p w:rsidR="00045072" w:rsidRDefault="00045072" w:rsidP="00045072">
            <w:pPr>
              <w:spacing w:line="360" w:lineRule="auto"/>
              <w:jc w:val="center"/>
            </w:pPr>
            <w:r>
              <w:t>Koncovka generického názvu</w:t>
            </w:r>
          </w:p>
        </w:tc>
      </w:tr>
      <w:tr w:rsidR="00045072" w:rsidTr="00A70D18">
        <w:trPr>
          <w:trHeight w:val="509"/>
        </w:trPr>
        <w:tc>
          <w:tcPr>
            <w:tcW w:w="3300" w:type="dxa"/>
            <w:shd w:val="clear" w:color="auto" w:fill="365F91" w:themeFill="accent1" w:themeFillShade="BF"/>
          </w:tcPr>
          <w:p w:rsidR="00045072" w:rsidRDefault="00045072" w:rsidP="00A70D18">
            <w:pPr>
              <w:spacing w:line="360" w:lineRule="auto"/>
              <w:jc w:val="center"/>
            </w:pPr>
            <w:r>
              <w:t>1. Myšacie protilátky</w:t>
            </w:r>
          </w:p>
        </w:tc>
        <w:tc>
          <w:tcPr>
            <w:tcW w:w="3300" w:type="dxa"/>
            <w:shd w:val="clear" w:color="auto" w:fill="95B3D7" w:themeFill="accent1" w:themeFillTint="99"/>
          </w:tcPr>
          <w:p w:rsidR="00045072" w:rsidRDefault="00045072" w:rsidP="00A70D18">
            <w:pPr>
              <w:spacing w:line="360" w:lineRule="auto"/>
              <w:jc w:val="center"/>
            </w:pPr>
            <w:r>
              <w:t>Pripravené na myšiach, vysoká tvorba HAMA</w:t>
            </w:r>
            <w:r w:rsidR="006379E9">
              <w:rPr>
                <w:rStyle w:val="Znakapoznpodarou"/>
              </w:rPr>
              <w:footnoteReference w:id="1"/>
            </w:r>
          </w:p>
        </w:tc>
        <w:tc>
          <w:tcPr>
            <w:tcW w:w="3301" w:type="dxa"/>
            <w:shd w:val="clear" w:color="auto" w:fill="95B3D7" w:themeFill="accent1" w:themeFillTint="99"/>
          </w:tcPr>
          <w:p w:rsidR="00045072" w:rsidRDefault="00045072" w:rsidP="00A70D18">
            <w:pPr>
              <w:spacing w:line="360" w:lineRule="auto"/>
              <w:jc w:val="center"/>
            </w:pPr>
            <w:r>
              <w:t>„- mab“</w:t>
            </w:r>
          </w:p>
        </w:tc>
      </w:tr>
      <w:tr w:rsidR="00045072" w:rsidTr="00A70D18">
        <w:trPr>
          <w:trHeight w:val="509"/>
        </w:trPr>
        <w:tc>
          <w:tcPr>
            <w:tcW w:w="3300" w:type="dxa"/>
            <w:shd w:val="clear" w:color="auto" w:fill="365F91" w:themeFill="accent1" w:themeFillShade="BF"/>
          </w:tcPr>
          <w:p w:rsidR="00045072" w:rsidRDefault="00045072" w:rsidP="00A70D18">
            <w:pPr>
              <w:spacing w:line="360" w:lineRule="auto"/>
              <w:jc w:val="center"/>
            </w:pPr>
            <w:r>
              <w:t>2.Chimerické protilátky</w:t>
            </w:r>
          </w:p>
        </w:tc>
        <w:tc>
          <w:tcPr>
            <w:tcW w:w="3300" w:type="dxa"/>
            <w:shd w:val="clear" w:color="auto" w:fill="B8CCE4" w:themeFill="accent1" w:themeFillTint="66"/>
          </w:tcPr>
          <w:p w:rsidR="00045072" w:rsidRDefault="00045072" w:rsidP="00A70D18">
            <w:pPr>
              <w:spacing w:line="360" w:lineRule="auto"/>
              <w:jc w:val="center"/>
            </w:pPr>
            <w:r>
              <w:t>Sú zložené z ľudskej bielkoviny (tzv. konštantná oblasť) a z myšacej protilátky. Existujú v pomere 60-70 : 30-40</w:t>
            </w:r>
          </w:p>
        </w:tc>
        <w:tc>
          <w:tcPr>
            <w:tcW w:w="3301" w:type="dxa"/>
            <w:shd w:val="clear" w:color="auto" w:fill="B8CCE4" w:themeFill="accent1" w:themeFillTint="66"/>
          </w:tcPr>
          <w:p w:rsidR="00045072" w:rsidRDefault="00045072" w:rsidP="00A70D18">
            <w:pPr>
              <w:spacing w:line="360" w:lineRule="auto"/>
              <w:jc w:val="center"/>
            </w:pPr>
            <w:r>
              <w:t>„-ximab“</w:t>
            </w:r>
          </w:p>
        </w:tc>
      </w:tr>
      <w:tr w:rsidR="00045072" w:rsidTr="00A70D18">
        <w:trPr>
          <w:trHeight w:val="509"/>
        </w:trPr>
        <w:tc>
          <w:tcPr>
            <w:tcW w:w="3300" w:type="dxa"/>
            <w:shd w:val="clear" w:color="auto" w:fill="365F91" w:themeFill="accent1" w:themeFillShade="BF"/>
          </w:tcPr>
          <w:p w:rsidR="00045072" w:rsidRDefault="00045072" w:rsidP="00A70D18">
            <w:pPr>
              <w:spacing w:line="360" w:lineRule="auto"/>
              <w:jc w:val="center"/>
            </w:pPr>
            <w:r>
              <w:t>3. H</w:t>
            </w:r>
            <w:r w:rsidR="003104B5">
              <w:t>umanizovan</w:t>
            </w:r>
            <w:r>
              <w:t>é protilátky</w:t>
            </w:r>
          </w:p>
        </w:tc>
        <w:tc>
          <w:tcPr>
            <w:tcW w:w="3300" w:type="dxa"/>
            <w:shd w:val="clear" w:color="auto" w:fill="95B3D7" w:themeFill="accent1" w:themeFillTint="99"/>
          </w:tcPr>
          <w:p w:rsidR="00045072" w:rsidRDefault="00045072" w:rsidP="00A70D18">
            <w:pPr>
              <w:spacing w:line="360" w:lineRule="auto"/>
              <w:jc w:val="center"/>
            </w:pPr>
            <w:r>
              <w:t>Vo svojej molekule obsahujú 5-10% myšacej protilátky</w:t>
            </w:r>
          </w:p>
        </w:tc>
        <w:tc>
          <w:tcPr>
            <w:tcW w:w="3301" w:type="dxa"/>
            <w:shd w:val="clear" w:color="auto" w:fill="95B3D7" w:themeFill="accent1" w:themeFillTint="99"/>
          </w:tcPr>
          <w:p w:rsidR="00045072" w:rsidRDefault="00045072" w:rsidP="00A70D18">
            <w:pPr>
              <w:spacing w:line="360" w:lineRule="auto"/>
              <w:jc w:val="center"/>
            </w:pPr>
            <w:r>
              <w:t>„-zumab“ alebo „mumab“</w:t>
            </w:r>
          </w:p>
          <w:p w:rsidR="00045072" w:rsidRDefault="00045072" w:rsidP="00A70D18">
            <w:pPr>
              <w:spacing w:line="360" w:lineRule="auto"/>
              <w:jc w:val="center"/>
            </w:pPr>
          </w:p>
        </w:tc>
      </w:tr>
    </w:tbl>
    <w:bookmarkEnd w:id="11"/>
    <w:p w:rsidR="00AD3090" w:rsidRDefault="003104B5" w:rsidP="003104B5">
      <w:pPr>
        <w:spacing w:before="120" w:after="120" w:line="360" w:lineRule="auto"/>
        <w:jc w:val="both"/>
        <w:rPr>
          <w:b/>
          <w:bCs/>
        </w:rPr>
      </w:pPr>
      <w:r>
        <w:rPr>
          <w:b/>
          <w:bCs/>
          <w:i/>
        </w:rPr>
        <w:t>B.</w:t>
      </w:r>
      <w:r>
        <w:rPr>
          <w:bCs/>
          <w:i/>
        </w:rPr>
        <w:t xml:space="preserve"> </w:t>
      </w:r>
      <w:r>
        <w:rPr>
          <w:bCs/>
        </w:rPr>
        <w:t xml:space="preserve">Delenie z hľadiska konjugácie. Úlohou konjugátov je navedenie alebo priblíženie protilátok k cieľovým bunkám. </w:t>
      </w:r>
      <w:r w:rsidRPr="00772406">
        <w:rPr>
          <w:bCs/>
        </w:rPr>
        <w:t>(Cwiertka a kol., 2004)</w:t>
      </w:r>
    </w:p>
    <w:p w:rsidR="003104B5" w:rsidRPr="00772406" w:rsidRDefault="00FC0A86" w:rsidP="003104B5">
      <w:pPr>
        <w:spacing w:before="120" w:after="120" w:line="360" w:lineRule="auto"/>
        <w:jc w:val="both"/>
        <w:rPr>
          <w:bCs/>
        </w:rPr>
      </w:pPr>
      <w:r>
        <w:rPr>
          <w:bCs/>
        </w:rPr>
        <w:t>Tab. č. 6</w:t>
      </w:r>
      <w:r w:rsidR="003104B5">
        <w:rPr>
          <w:bCs/>
        </w:rPr>
        <w:t xml:space="preserve">. Rozdelenie protilátok z hľadiska konjugácie. </w:t>
      </w:r>
      <w:r w:rsidR="003104B5" w:rsidRPr="00772406">
        <w:rPr>
          <w:bCs/>
        </w:rPr>
        <w:t>(Cwiertka a kol., 2004)</w:t>
      </w:r>
    </w:p>
    <w:tbl>
      <w:tblPr>
        <w:tblStyle w:val="Mkatabulky"/>
        <w:tblW w:w="0" w:type="auto"/>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tblLook w:val="04A0" w:firstRow="1" w:lastRow="0" w:firstColumn="1" w:lastColumn="0" w:noHBand="0" w:noVBand="1"/>
      </w:tblPr>
      <w:tblGrid>
        <w:gridCol w:w="4503"/>
        <w:gridCol w:w="4500"/>
      </w:tblGrid>
      <w:tr w:rsidR="003104B5" w:rsidTr="00A70D18">
        <w:tc>
          <w:tcPr>
            <w:tcW w:w="4605" w:type="dxa"/>
            <w:shd w:val="clear" w:color="auto" w:fill="365F91" w:themeFill="accent1" w:themeFillShade="BF"/>
          </w:tcPr>
          <w:p w:rsidR="003104B5" w:rsidRDefault="003104B5" w:rsidP="001E2562">
            <w:pPr>
              <w:spacing w:before="120" w:after="120" w:line="360" w:lineRule="auto"/>
              <w:jc w:val="center"/>
              <w:rPr>
                <w:b/>
                <w:bCs/>
              </w:rPr>
            </w:pPr>
            <w:r>
              <w:rPr>
                <w:b/>
                <w:bCs/>
              </w:rPr>
              <w:t>Typ</w:t>
            </w:r>
          </w:p>
        </w:tc>
        <w:tc>
          <w:tcPr>
            <w:tcW w:w="4605" w:type="dxa"/>
            <w:shd w:val="clear" w:color="auto" w:fill="365F91" w:themeFill="accent1" w:themeFillShade="BF"/>
          </w:tcPr>
          <w:p w:rsidR="003104B5" w:rsidRDefault="003104B5" w:rsidP="001E2562">
            <w:pPr>
              <w:spacing w:before="120" w:after="120" w:line="360" w:lineRule="auto"/>
              <w:jc w:val="center"/>
              <w:rPr>
                <w:b/>
                <w:bCs/>
              </w:rPr>
            </w:pPr>
            <w:r>
              <w:rPr>
                <w:b/>
                <w:bCs/>
              </w:rPr>
              <w:t>Príklad</w:t>
            </w:r>
          </w:p>
        </w:tc>
      </w:tr>
      <w:tr w:rsidR="003104B5" w:rsidTr="00A70D18">
        <w:tc>
          <w:tcPr>
            <w:tcW w:w="4605" w:type="dxa"/>
            <w:shd w:val="clear" w:color="auto" w:fill="95B3D7" w:themeFill="accent1" w:themeFillTint="99"/>
          </w:tcPr>
          <w:p w:rsidR="003104B5" w:rsidRDefault="003104B5" w:rsidP="001E2562">
            <w:pPr>
              <w:spacing w:before="120" w:after="120" w:line="360" w:lineRule="auto"/>
              <w:jc w:val="center"/>
              <w:rPr>
                <w:b/>
                <w:bCs/>
              </w:rPr>
            </w:pPr>
            <w:r>
              <w:rPr>
                <w:b/>
                <w:bCs/>
              </w:rPr>
              <w:t>1. konjugované</w:t>
            </w:r>
          </w:p>
        </w:tc>
        <w:tc>
          <w:tcPr>
            <w:tcW w:w="4605" w:type="dxa"/>
            <w:shd w:val="clear" w:color="auto" w:fill="95B3D7" w:themeFill="accent1" w:themeFillTint="99"/>
          </w:tcPr>
          <w:p w:rsidR="003104B5" w:rsidRPr="003104B5" w:rsidRDefault="003104B5" w:rsidP="001E2562">
            <w:pPr>
              <w:spacing w:before="120" w:after="120" w:line="360" w:lineRule="auto"/>
              <w:jc w:val="center"/>
              <w:rPr>
                <w:bCs/>
              </w:rPr>
            </w:pPr>
            <w:r>
              <w:rPr>
                <w:bCs/>
              </w:rPr>
              <w:t>S imunotoxínom, cytostatikom, cytokinínom či s radioizotopom</w:t>
            </w:r>
          </w:p>
        </w:tc>
      </w:tr>
      <w:tr w:rsidR="003104B5" w:rsidTr="00A70D18">
        <w:tc>
          <w:tcPr>
            <w:tcW w:w="4605" w:type="dxa"/>
            <w:shd w:val="clear" w:color="auto" w:fill="B8CCE4" w:themeFill="accent1" w:themeFillTint="66"/>
          </w:tcPr>
          <w:p w:rsidR="003104B5" w:rsidRDefault="003104B5" w:rsidP="001E2562">
            <w:pPr>
              <w:spacing w:before="120" w:after="120" w:line="360" w:lineRule="auto"/>
              <w:jc w:val="center"/>
              <w:rPr>
                <w:b/>
                <w:bCs/>
              </w:rPr>
            </w:pPr>
            <w:r>
              <w:rPr>
                <w:b/>
                <w:bCs/>
              </w:rPr>
              <w:lastRenderedPageBreak/>
              <w:t>2. nekojnugované</w:t>
            </w:r>
          </w:p>
        </w:tc>
        <w:tc>
          <w:tcPr>
            <w:tcW w:w="4605" w:type="dxa"/>
            <w:shd w:val="clear" w:color="auto" w:fill="B8CCE4" w:themeFill="accent1" w:themeFillTint="66"/>
          </w:tcPr>
          <w:p w:rsidR="003104B5" w:rsidRPr="003104B5" w:rsidRDefault="003104B5" w:rsidP="001E2562">
            <w:pPr>
              <w:spacing w:before="120" w:after="120" w:line="360" w:lineRule="auto"/>
              <w:jc w:val="center"/>
              <w:rPr>
                <w:bCs/>
              </w:rPr>
            </w:pPr>
            <w:r w:rsidRPr="003104B5">
              <w:rPr>
                <w:bCs/>
              </w:rPr>
              <w:t>Rituximab, adrecolomab</w:t>
            </w:r>
            <w:r>
              <w:rPr>
                <w:bCs/>
              </w:rPr>
              <w:t>, trastuzumab</w:t>
            </w:r>
          </w:p>
        </w:tc>
      </w:tr>
    </w:tbl>
    <w:p w:rsidR="00AD3090" w:rsidRDefault="00FC0A86" w:rsidP="001E2562">
      <w:pPr>
        <w:pStyle w:val="Nadpis1"/>
        <w:spacing w:line="360" w:lineRule="auto"/>
      </w:pPr>
      <w:bookmarkStart w:id="14" w:name="_Toc66642031"/>
      <w:r>
        <w:t xml:space="preserve">2.7 </w:t>
      </w:r>
      <w:r w:rsidR="001E2562">
        <w:t>Terapeutické využitie mAb</w:t>
      </w:r>
      <w:bookmarkEnd w:id="14"/>
    </w:p>
    <w:p w:rsidR="001E2562" w:rsidRPr="001E2562" w:rsidRDefault="001E2562" w:rsidP="001E2562">
      <w:pPr>
        <w:spacing w:line="360" w:lineRule="auto"/>
        <w:jc w:val="both"/>
      </w:pPr>
      <w:r>
        <w:tab/>
        <w:t>Z farmakoterapeutického hľadiska sa monoklonálne protilátky používajú v liečbe onkologických a neonkologických ochorení.</w:t>
      </w:r>
    </w:p>
    <w:p w:rsidR="00AD3090" w:rsidRPr="00A70D18" w:rsidRDefault="001E2562" w:rsidP="001E2562">
      <w:pPr>
        <w:spacing w:before="120" w:after="120" w:line="360" w:lineRule="auto"/>
        <w:jc w:val="both"/>
        <w:rPr>
          <w:b/>
          <w:bCs/>
        </w:rPr>
      </w:pPr>
      <w:r>
        <w:rPr>
          <w:bCs/>
        </w:rPr>
        <w:t xml:space="preserve">Tab. č. </w:t>
      </w:r>
      <w:r w:rsidR="00FC0A86">
        <w:rPr>
          <w:bCs/>
        </w:rPr>
        <w:t>7</w:t>
      </w:r>
      <w:r>
        <w:rPr>
          <w:bCs/>
        </w:rPr>
        <w:t xml:space="preserve">. </w:t>
      </w:r>
      <w:r w:rsidR="00A70D18">
        <w:rPr>
          <w:bCs/>
        </w:rPr>
        <w:t>M</w:t>
      </w:r>
      <w:r w:rsidR="00DE09B4">
        <w:rPr>
          <w:bCs/>
        </w:rPr>
        <w:t>onoklonálne protilátky v</w:t>
      </w:r>
      <w:r w:rsidR="00A70D18">
        <w:rPr>
          <w:bCs/>
        </w:rPr>
        <w:t xml:space="preserve"> terapii malígnych ochorení </w:t>
      </w:r>
      <w:r w:rsidR="00A70D18" w:rsidRPr="00772406">
        <w:rPr>
          <w:bCs/>
        </w:rPr>
        <w:t>(Madriak, 2008)</w:t>
      </w:r>
    </w:p>
    <w:tbl>
      <w:tblPr>
        <w:tblStyle w:val="Mkatabulky"/>
        <w:tblW w:w="0" w:type="auto"/>
        <w:tblBorders>
          <w:top w:val="single" w:sz="18" w:space="0" w:color="FFFFFF" w:themeColor="background1"/>
          <w:left w:val="single" w:sz="18" w:space="0" w:color="FFFFFF" w:themeColor="background1"/>
          <w:bottom w:val="single" w:sz="18" w:space="0" w:color="FFFFFF" w:themeColor="background1"/>
          <w:right w:val="single" w:sz="18" w:space="0" w:color="FFFFFF" w:themeColor="background1"/>
          <w:insideH w:val="single" w:sz="18" w:space="0" w:color="FFFFFF" w:themeColor="background1"/>
          <w:insideV w:val="single" w:sz="18" w:space="0" w:color="FFFFFF" w:themeColor="background1"/>
        </w:tblBorders>
        <w:tblLook w:val="04A0" w:firstRow="1" w:lastRow="0" w:firstColumn="1" w:lastColumn="0" w:noHBand="0" w:noVBand="1"/>
      </w:tblPr>
      <w:tblGrid>
        <w:gridCol w:w="1809"/>
        <w:gridCol w:w="1560"/>
        <w:gridCol w:w="1275"/>
        <w:gridCol w:w="4111"/>
      </w:tblGrid>
      <w:tr w:rsidR="00A70D18" w:rsidTr="00645872">
        <w:tc>
          <w:tcPr>
            <w:tcW w:w="1809" w:type="dxa"/>
            <w:shd w:val="clear" w:color="auto" w:fill="365F91" w:themeFill="accent1" w:themeFillShade="BF"/>
          </w:tcPr>
          <w:p w:rsidR="00A70D18" w:rsidRPr="00645872" w:rsidRDefault="00A70D18" w:rsidP="00645872">
            <w:pPr>
              <w:spacing w:before="120" w:after="120" w:line="360" w:lineRule="auto"/>
              <w:jc w:val="center"/>
              <w:rPr>
                <w:b/>
                <w:bCs/>
                <w:color w:val="FFFFFF" w:themeColor="background1"/>
              </w:rPr>
            </w:pPr>
            <w:r w:rsidRPr="00645872">
              <w:rPr>
                <w:b/>
                <w:bCs/>
                <w:color w:val="FFFFFF" w:themeColor="background1"/>
              </w:rPr>
              <w:t>Monoklonálna protilátka</w:t>
            </w:r>
          </w:p>
        </w:tc>
        <w:tc>
          <w:tcPr>
            <w:tcW w:w="1560" w:type="dxa"/>
            <w:shd w:val="clear" w:color="auto" w:fill="365F91" w:themeFill="accent1" w:themeFillShade="BF"/>
          </w:tcPr>
          <w:p w:rsidR="00A70D18" w:rsidRPr="00645872" w:rsidRDefault="00A70D18" w:rsidP="00645872">
            <w:pPr>
              <w:spacing w:before="120" w:after="120" w:line="360" w:lineRule="auto"/>
              <w:jc w:val="center"/>
              <w:rPr>
                <w:b/>
                <w:bCs/>
                <w:color w:val="FFFFFF" w:themeColor="background1"/>
              </w:rPr>
            </w:pPr>
            <w:r w:rsidRPr="00645872">
              <w:rPr>
                <w:b/>
                <w:bCs/>
                <w:color w:val="FFFFFF" w:themeColor="background1"/>
              </w:rPr>
              <w:t>Názov lieku</w:t>
            </w:r>
          </w:p>
        </w:tc>
        <w:tc>
          <w:tcPr>
            <w:tcW w:w="1275" w:type="dxa"/>
            <w:shd w:val="clear" w:color="auto" w:fill="365F91" w:themeFill="accent1" w:themeFillShade="BF"/>
          </w:tcPr>
          <w:p w:rsidR="00A70D18" w:rsidRPr="00645872" w:rsidRDefault="00A70D18" w:rsidP="00645872">
            <w:pPr>
              <w:spacing w:before="120" w:after="120" w:line="360" w:lineRule="auto"/>
              <w:jc w:val="center"/>
              <w:rPr>
                <w:b/>
                <w:bCs/>
                <w:color w:val="FFFFFF" w:themeColor="background1"/>
              </w:rPr>
            </w:pPr>
            <w:r w:rsidRPr="00645872">
              <w:rPr>
                <w:b/>
                <w:bCs/>
                <w:color w:val="FFFFFF" w:themeColor="background1"/>
              </w:rPr>
              <w:t>Cieľ</w:t>
            </w:r>
          </w:p>
        </w:tc>
        <w:tc>
          <w:tcPr>
            <w:tcW w:w="4111" w:type="dxa"/>
            <w:shd w:val="clear" w:color="auto" w:fill="365F91" w:themeFill="accent1" w:themeFillShade="BF"/>
          </w:tcPr>
          <w:p w:rsidR="00A70D18" w:rsidRPr="00645872" w:rsidRDefault="00A70D18" w:rsidP="00645872">
            <w:pPr>
              <w:spacing w:before="120" w:after="120" w:line="360" w:lineRule="auto"/>
              <w:jc w:val="center"/>
              <w:rPr>
                <w:b/>
                <w:bCs/>
                <w:color w:val="FFFFFF" w:themeColor="background1"/>
              </w:rPr>
            </w:pPr>
            <w:r w:rsidRPr="00645872">
              <w:rPr>
                <w:b/>
                <w:bCs/>
                <w:color w:val="FFFFFF" w:themeColor="background1"/>
              </w:rPr>
              <w:t>Diagnóza</w:t>
            </w:r>
          </w:p>
        </w:tc>
      </w:tr>
      <w:tr w:rsidR="00A70D18" w:rsidTr="00645872">
        <w:tc>
          <w:tcPr>
            <w:tcW w:w="1809" w:type="dxa"/>
            <w:shd w:val="clear" w:color="auto" w:fill="365F91" w:themeFill="accent1" w:themeFillShade="BF"/>
          </w:tcPr>
          <w:p w:rsidR="00A70D18" w:rsidRPr="00645872" w:rsidRDefault="00A70D18" w:rsidP="00645872">
            <w:pPr>
              <w:spacing w:before="120" w:after="120" w:line="360" w:lineRule="auto"/>
              <w:jc w:val="center"/>
              <w:rPr>
                <w:bCs/>
                <w:color w:val="FFFFFF" w:themeColor="background1"/>
              </w:rPr>
            </w:pPr>
            <w:r w:rsidRPr="00645872">
              <w:rPr>
                <w:bCs/>
                <w:color w:val="FFFFFF" w:themeColor="background1"/>
              </w:rPr>
              <w:t>Alemtuzumab</w:t>
            </w:r>
          </w:p>
        </w:tc>
        <w:tc>
          <w:tcPr>
            <w:tcW w:w="1560" w:type="dxa"/>
            <w:shd w:val="clear" w:color="auto" w:fill="95B3D7" w:themeFill="accent1" w:themeFillTint="99"/>
          </w:tcPr>
          <w:p w:rsidR="00A70D18" w:rsidRPr="00A70D18" w:rsidRDefault="00A70D18" w:rsidP="00645872">
            <w:pPr>
              <w:spacing w:before="120" w:after="120" w:line="360" w:lineRule="auto"/>
              <w:jc w:val="center"/>
              <w:rPr>
                <w:bCs/>
              </w:rPr>
            </w:pPr>
            <w:r w:rsidRPr="00A70D18">
              <w:rPr>
                <w:bCs/>
              </w:rPr>
              <w:t>MabCampath</w:t>
            </w:r>
          </w:p>
        </w:tc>
        <w:tc>
          <w:tcPr>
            <w:tcW w:w="1275" w:type="dxa"/>
            <w:shd w:val="clear" w:color="auto" w:fill="95B3D7" w:themeFill="accent1" w:themeFillTint="99"/>
          </w:tcPr>
          <w:p w:rsidR="00A70D18" w:rsidRPr="00A70D18" w:rsidRDefault="00A70D18" w:rsidP="00645872">
            <w:pPr>
              <w:spacing w:before="120" w:after="120" w:line="360" w:lineRule="auto"/>
              <w:jc w:val="center"/>
              <w:rPr>
                <w:bCs/>
              </w:rPr>
            </w:pPr>
            <w:r>
              <w:rPr>
                <w:bCs/>
              </w:rPr>
              <w:t>CD52</w:t>
            </w:r>
            <w:r w:rsidR="00DE09B4">
              <w:rPr>
                <w:rStyle w:val="Znakapoznpodarou"/>
                <w:bCs/>
              </w:rPr>
              <w:footnoteReference w:id="2"/>
            </w:r>
          </w:p>
        </w:tc>
        <w:tc>
          <w:tcPr>
            <w:tcW w:w="4111" w:type="dxa"/>
            <w:shd w:val="clear" w:color="auto" w:fill="95B3D7" w:themeFill="accent1" w:themeFillTint="99"/>
          </w:tcPr>
          <w:p w:rsidR="00A70D18" w:rsidRPr="00645872" w:rsidRDefault="00645872" w:rsidP="00645872">
            <w:pPr>
              <w:spacing w:before="120" w:after="120" w:line="360" w:lineRule="auto"/>
              <w:jc w:val="center"/>
              <w:rPr>
                <w:bCs/>
              </w:rPr>
            </w:pPr>
            <w:r>
              <w:rPr>
                <w:bCs/>
              </w:rPr>
              <w:t>Chronická lymfocytárna leukémia</w:t>
            </w:r>
          </w:p>
        </w:tc>
      </w:tr>
      <w:tr w:rsidR="00A70D18" w:rsidTr="00645872">
        <w:tc>
          <w:tcPr>
            <w:tcW w:w="1809" w:type="dxa"/>
            <w:shd w:val="clear" w:color="auto" w:fill="365F91" w:themeFill="accent1" w:themeFillShade="BF"/>
          </w:tcPr>
          <w:p w:rsidR="00645872" w:rsidRDefault="00645872" w:rsidP="00645872">
            <w:pPr>
              <w:spacing w:before="120" w:after="120" w:line="360" w:lineRule="auto"/>
              <w:jc w:val="center"/>
              <w:rPr>
                <w:bCs/>
                <w:color w:val="FFFFFF" w:themeColor="background1"/>
              </w:rPr>
            </w:pPr>
          </w:p>
          <w:p w:rsidR="00A70D18" w:rsidRPr="00645872" w:rsidRDefault="00A70D18" w:rsidP="00645872">
            <w:pPr>
              <w:spacing w:before="120" w:after="120" w:line="360" w:lineRule="auto"/>
              <w:jc w:val="center"/>
              <w:rPr>
                <w:bCs/>
                <w:color w:val="FFFFFF" w:themeColor="background1"/>
              </w:rPr>
            </w:pPr>
            <w:r w:rsidRPr="00645872">
              <w:rPr>
                <w:bCs/>
                <w:color w:val="FFFFFF" w:themeColor="background1"/>
              </w:rPr>
              <w:t>Bevacizumab</w:t>
            </w:r>
          </w:p>
        </w:tc>
        <w:tc>
          <w:tcPr>
            <w:tcW w:w="1560" w:type="dxa"/>
            <w:shd w:val="clear" w:color="auto" w:fill="B8CCE4" w:themeFill="accent1" w:themeFillTint="66"/>
          </w:tcPr>
          <w:p w:rsidR="00A70D18" w:rsidRPr="00A70D18" w:rsidRDefault="00A70D18" w:rsidP="00645872">
            <w:pPr>
              <w:spacing w:before="120" w:after="120" w:line="360" w:lineRule="auto"/>
              <w:jc w:val="center"/>
              <w:rPr>
                <w:bCs/>
              </w:rPr>
            </w:pPr>
            <w:r w:rsidRPr="00A70D18">
              <w:rPr>
                <w:bCs/>
              </w:rPr>
              <w:t>Avastin</w:t>
            </w:r>
          </w:p>
        </w:tc>
        <w:tc>
          <w:tcPr>
            <w:tcW w:w="1275" w:type="dxa"/>
            <w:shd w:val="clear" w:color="auto" w:fill="B8CCE4" w:themeFill="accent1" w:themeFillTint="66"/>
          </w:tcPr>
          <w:p w:rsidR="00A70D18" w:rsidRPr="00A70D18" w:rsidRDefault="00A70D18" w:rsidP="00645872">
            <w:pPr>
              <w:spacing w:before="120" w:after="120" w:line="360" w:lineRule="auto"/>
              <w:jc w:val="center"/>
              <w:rPr>
                <w:bCs/>
              </w:rPr>
            </w:pPr>
            <w:r w:rsidRPr="00A70D18">
              <w:rPr>
                <w:bCs/>
              </w:rPr>
              <w:t>VEGF</w:t>
            </w:r>
            <w:r w:rsidR="00645872">
              <w:rPr>
                <w:rStyle w:val="Znakapoznpodarou"/>
                <w:bCs/>
              </w:rPr>
              <w:footnoteReference w:id="3"/>
            </w:r>
          </w:p>
        </w:tc>
        <w:tc>
          <w:tcPr>
            <w:tcW w:w="4111" w:type="dxa"/>
            <w:shd w:val="clear" w:color="auto" w:fill="B8CCE4" w:themeFill="accent1" w:themeFillTint="66"/>
          </w:tcPr>
          <w:p w:rsidR="00A70D18" w:rsidRPr="00645872" w:rsidRDefault="00645872" w:rsidP="00645872">
            <w:pPr>
              <w:spacing w:before="120" w:after="120" w:line="360" w:lineRule="auto"/>
              <w:jc w:val="center"/>
              <w:rPr>
                <w:bCs/>
              </w:rPr>
            </w:pPr>
            <w:r>
              <w:rPr>
                <w:bCs/>
              </w:rPr>
              <w:t>Kolorektálny karcinóm, karcinóm prsníka, obličky, nemalobunkový karcinóm pľúc</w:t>
            </w:r>
          </w:p>
        </w:tc>
      </w:tr>
      <w:tr w:rsidR="00A70D18" w:rsidTr="00645872">
        <w:tc>
          <w:tcPr>
            <w:tcW w:w="1809" w:type="dxa"/>
            <w:shd w:val="clear" w:color="auto" w:fill="365F91" w:themeFill="accent1" w:themeFillShade="BF"/>
          </w:tcPr>
          <w:p w:rsidR="00A70D18" w:rsidRPr="00645872" w:rsidRDefault="00A70D18" w:rsidP="00645872">
            <w:pPr>
              <w:spacing w:before="120" w:after="120" w:line="360" w:lineRule="auto"/>
              <w:jc w:val="center"/>
              <w:rPr>
                <w:bCs/>
                <w:color w:val="FFFFFF" w:themeColor="background1"/>
              </w:rPr>
            </w:pPr>
            <w:r w:rsidRPr="00645872">
              <w:rPr>
                <w:bCs/>
                <w:color w:val="FFFFFF" w:themeColor="background1"/>
              </w:rPr>
              <w:t>Cetuximab</w:t>
            </w:r>
          </w:p>
        </w:tc>
        <w:tc>
          <w:tcPr>
            <w:tcW w:w="1560" w:type="dxa"/>
            <w:shd w:val="clear" w:color="auto" w:fill="95B3D7" w:themeFill="accent1" w:themeFillTint="99"/>
          </w:tcPr>
          <w:p w:rsidR="00A70D18" w:rsidRPr="00A70D18" w:rsidRDefault="00A70D18" w:rsidP="00645872">
            <w:pPr>
              <w:spacing w:before="120" w:after="120" w:line="360" w:lineRule="auto"/>
              <w:jc w:val="center"/>
              <w:rPr>
                <w:bCs/>
              </w:rPr>
            </w:pPr>
            <w:r w:rsidRPr="00A70D18">
              <w:rPr>
                <w:bCs/>
              </w:rPr>
              <w:t>Erbitux</w:t>
            </w:r>
          </w:p>
        </w:tc>
        <w:tc>
          <w:tcPr>
            <w:tcW w:w="1275" w:type="dxa"/>
            <w:shd w:val="clear" w:color="auto" w:fill="95B3D7" w:themeFill="accent1" w:themeFillTint="99"/>
          </w:tcPr>
          <w:p w:rsidR="00A70D18" w:rsidRPr="00A70D18" w:rsidRDefault="00A70D18" w:rsidP="00645872">
            <w:pPr>
              <w:spacing w:before="120" w:after="120" w:line="360" w:lineRule="auto"/>
              <w:jc w:val="center"/>
              <w:rPr>
                <w:bCs/>
              </w:rPr>
            </w:pPr>
            <w:r w:rsidRPr="00A70D18">
              <w:rPr>
                <w:bCs/>
              </w:rPr>
              <w:t>EGFr</w:t>
            </w:r>
            <w:r w:rsidR="00DE09B4">
              <w:rPr>
                <w:rStyle w:val="Znakapoznpodarou"/>
                <w:bCs/>
              </w:rPr>
              <w:footnoteReference w:id="4"/>
            </w:r>
          </w:p>
        </w:tc>
        <w:tc>
          <w:tcPr>
            <w:tcW w:w="4111" w:type="dxa"/>
            <w:shd w:val="clear" w:color="auto" w:fill="95B3D7" w:themeFill="accent1" w:themeFillTint="99"/>
          </w:tcPr>
          <w:p w:rsidR="00A70D18" w:rsidRPr="00645872" w:rsidRDefault="00645872" w:rsidP="00645872">
            <w:pPr>
              <w:spacing w:before="120" w:after="120" w:line="360" w:lineRule="auto"/>
              <w:jc w:val="center"/>
              <w:rPr>
                <w:bCs/>
              </w:rPr>
            </w:pPr>
            <w:r>
              <w:rPr>
                <w:bCs/>
              </w:rPr>
              <w:t>Kolorektálny karcinóm, karcinóm hlavy a krku</w:t>
            </w:r>
          </w:p>
        </w:tc>
      </w:tr>
      <w:tr w:rsidR="00A70D18" w:rsidTr="00645872">
        <w:tc>
          <w:tcPr>
            <w:tcW w:w="1809" w:type="dxa"/>
            <w:shd w:val="clear" w:color="auto" w:fill="365F91" w:themeFill="accent1" w:themeFillShade="BF"/>
          </w:tcPr>
          <w:p w:rsidR="00A70D18" w:rsidRPr="00645872" w:rsidRDefault="00A70D18" w:rsidP="00645872">
            <w:pPr>
              <w:spacing w:before="120" w:after="120" w:line="360" w:lineRule="auto"/>
              <w:jc w:val="center"/>
              <w:rPr>
                <w:bCs/>
                <w:color w:val="FFFFFF" w:themeColor="background1"/>
              </w:rPr>
            </w:pPr>
            <w:r w:rsidRPr="00645872">
              <w:rPr>
                <w:bCs/>
                <w:color w:val="FFFFFF" w:themeColor="background1"/>
              </w:rPr>
              <w:t>Gemtuzumab</w:t>
            </w:r>
          </w:p>
        </w:tc>
        <w:tc>
          <w:tcPr>
            <w:tcW w:w="1560" w:type="dxa"/>
            <w:shd w:val="clear" w:color="auto" w:fill="B8CCE4" w:themeFill="accent1" w:themeFillTint="66"/>
          </w:tcPr>
          <w:p w:rsidR="00A70D18" w:rsidRPr="00A70D18" w:rsidRDefault="00A70D18" w:rsidP="00645872">
            <w:pPr>
              <w:spacing w:before="120" w:after="120" w:line="360" w:lineRule="auto"/>
              <w:jc w:val="center"/>
              <w:rPr>
                <w:bCs/>
              </w:rPr>
            </w:pPr>
            <w:r w:rsidRPr="00A70D18">
              <w:rPr>
                <w:bCs/>
              </w:rPr>
              <w:t>Mylotarg</w:t>
            </w:r>
          </w:p>
        </w:tc>
        <w:tc>
          <w:tcPr>
            <w:tcW w:w="1275" w:type="dxa"/>
            <w:shd w:val="clear" w:color="auto" w:fill="B8CCE4" w:themeFill="accent1" w:themeFillTint="66"/>
          </w:tcPr>
          <w:p w:rsidR="00A70D18" w:rsidRPr="00A70D18" w:rsidRDefault="00645872" w:rsidP="00645872">
            <w:pPr>
              <w:spacing w:before="120" w:after="120" w:line="360" w:lineRule="auto"/>
              <w:jc w:val="center"/>
              <w:rPr>
                <w:bCs/>
              </w:rPr>
            </w:pPr>
            <w:r>
              <w:rPr>
                <w:bCs/>
              </w:rPr>
              <w:t>CD30</w:t>
            </w:r>
            <w:r w:rsidR="00DE09B4">
              <w:rPr>
                <w:rStyle w:val="Znakapoznpodarou"/>
                <w:bCs/>
              </w:rPr>
              <w:footnoteReference w:id="5"/>
            </w:r>
          </w:p>
        </w:tc>
        <w:tc>
          <w:tcPr>
            <w:tcW w:w="4111" w:type="dxa"/>
            <w:shd w:val="clear" w:color="auto" w:fill="B8CCE4" w:themeFill="accent1" w:themeFillTint="66"/>
          </w:tcPr>
          <w:p w:rsidR="00A70D18" w:rsidRPr="00645872" w:rsidRDefault="00645872" w:rsidP="00645872">
            <w:pPr>
              <w:spacing w:before="120" w:after="120" w:line="360" w:lineRule="auto"/>
              <w:jc w:val="center"/>
              <w:rPr>
                <w:bCs/>
              </w:rPr>
            </w:pPr>
            <w:r>
              <w:rPr>
                <w:bCs/>
              </w:rPr>
              <w:t>Akútna myeloblastická leukémia</w:t>
            </w:r>
          </w:p>
        </w:tc>
      </w:tr>
      <w:tr w:rsidR="00A70D18" w:rsidTr="00645872">
        <w:tc>
          <w:tcPr>
            <w:tcW w:w="1809" w:type="dxa"/>
            <w:shd w:val="clear" w:color="auto" w:fill="365F91" w:themeFill="accent1" w:themeFillShade="BF"/>
          </w:tcPr>
          <w:p w:rsidR="00A70D18" w:rsidRPr="00645872" w:rsidRDefault="00A70D18" w:rsidP="00645872">
            <w:pPr>
              <w:spacing w:before="120" w:after="120" w:line="360" w:lineRule="auto"/>
              <w:jc w:val="center"/>
              <w:rPr>
                <w:bCs/>
                <w:color w:val="FFFFFF" w:themeColor="background1"/>
              </w:rPr>
            </w:pPr>
            <w:r w:rsidRPr="00645872">
              <w:rPr>
                <w:bCs/>
                <w:color w:val="FFFFFF" w:themeColor="background1"/>
              </w:rPr>
              <w:t>Y-Ibritumomab</w:t>
            </w:r>
          </w:p>
        </w:tc>
        <w:tc>
          <w:tcPr>
            <w:tcW w:w="1560" w:type="dxa"/>
            <w:shd w:val="clear" w:color="auto" w:fill="95B3D7" w:themeFill="accent1" w:themeFillTint="99"/>
          </w:tcPr>
          <w:p w:rsidR="00A70D18" w:rsidRPr="00A70D18" w:rsidRDefault="00A70D18" w:rsidP="00645872">
            <w:pPr>
              <w:spacing w:before="120" w:after="120" w:line="360" w:lineRule="auto"/>
              <w:jc w:val="center"/>
              <w:rPr>
                <w:bCs/>
              </w:rPr>
            </w:pPr>
            <w:r w:rsidRPr="00A70D18">
              <w:rPr>
                <w:bCs/>
              </w:rPr>
              <w:t>Zevalin</w:t>
            </w:r>
          </w:p>
        </w:tc>
        <w:tc>
          <w:tcPr>
            <w:tcW w:w="1275" w:type="dxa"/>
            <w:shd w:val="clear" w:color="auto" w:fill="95B3D7" w:themeFill="accent1" w:themeFillTint="99"/>
          </w:tcPr>
          <w:p w:rsidR="00A70D18" w:rsidRPr="00645872" w:rsidRDefault="00645872" w:rsidP="00645872">
            <w:pPr>
              <w:spacing w:before="120" w:after="120" w:line="360" w:lineRule="auto"/>
              <w:jc w:val="center"/>
              <w:rPr>
                <w:bCs/>
              </w:rPr>
            </w:pPr>
            <w:r>
              <w:rPr>
                <w:bCs/>
              </w:rPr>
              <w:t>CD20</w:t>
            </w:r>
            <w:r w:rsidR="00DE09B4">
              <w:rPr>
                <w:rStyle w:val="Znakapoznpodarou"/>
                <w:bCs/>
              </w:rPr>
              <w:footnoteReference w:id="6"/>
            </w:r>
          </w:p>
        </w:tc>
        <w:tc>
          <w:tcPr>
            <w:tcW w:w="4111" w:type="dxa"/>
            <w:shd w:val="clear" w:color="auto" w:fill="95B3D7" w:themeFill="accent1" w:themeFillTint="99"/>
          </w:tcPr>
          <w:p w:rsidR="00A70D18" w:rsidRPr="00645872" w:rsidRDefault="00645872" w:rsidP="00645872">
            <w:pPr>
              <w:spacing w:before="120" w:after="120" w:line="360" w:lineRule="auto"/>
              <w:jc w:val="center"/>
              <w:rPr>
                <w:bCs/>
              </w:rPr>
            </w:pPr>
            <w:r>
              <w:rPr>
                <w:bCs/>
              </w:rPr>
              <w:t>Non – Hodgkinove lymfóny</w:t>
            </w:r>
          </w:p>
        </w:tc>
      </w:tr>
      <w:tr w:rsidR="00A70D18" w:rsidTr="00645872">
        <w:tc>
          <w:tcPr>
            <w:tcW w:w="1809" w:type="dxa"/>
            <w:shd w:val="clear" w:color="auto" w:fill="365F91" w:themeFill="accent1" w:themeFillShade="BF"/>
          </w:tcPr>
          <w:p w:rsidR="00A70D18" w:rsidRPr="00645872" w:rsidRDefault="00A70D18" w:rsidP="00645872">
            <w:pPr>
              <w:spacing w:before="120" w:after="120" w:line="360" w:lineRule="auto"/>
              <w:jc w:val="center"/>
              <w:rPr>
                <w:bCs/>
                <w:color w:val="FFFFFF" w:themeColor="background1"/>
              </w:rPr>
            </w:pPr>
            <w:r w:rsidRPr="00645872">
              <w:rPr>
                <w:bCs/>
                <w:color w:val="FFFFFF" w:themeColor="background1"/>
              </w:rPr>
              <w:t>Panitumumab</w:t>
            </w:r>
          </w:p>
        </w:tc>
        <w:tc>
          <w:tcPr>
            <w:tcW w:w="1560" w:type="dxa"/>
            <w:shd w:val="clear" w:color="auto" w:fill="B8CCE4" w:themeFill="accent1" w:themeFillTint="66"/>
          </w:tcPr>
          <w:p w:rsidR="00A70D18" w:rsidRPr="00A70D18" w:rsidRDefault="00A70D18" w:rsidP="00645872">
            <w:pPr>
              <w:spacing w:before="120" w:after="120" w:line="360" w:lineRule="auto"/>
              <w:jc w:val="center"/>
              <w:rPr>
                <w:bCs/>
              </w:rPr>
            </w:pPr>
            <w:r w:rsidRPr="00A70D18">
              <w:rPr>
                <w:bCs/>
              </w:rPr>
              <w:t>Vectibix</w:t>
            </w:r>
          </w:p>
        </w:tc>
        <w:tc>
          <w:tcPr>
            <w:tcW w:w="1275" w:type="dxa"/>
            <w:shd w:val="clear" w:color="auto" w:fill="B8CCE4" w:themeFill="accent1" w:themeFillTint="66"/>
          </w:tcPr>
          <w:p w:rsidR="00A70D18" w:rsidRPr="00645872" w:rsidRDefault="00645872" w:rsidP="00645872">
            <w:pPr>
              <w:spacing w:before="120" w:after="120" w:line="360" w:lineRule="auto"/>
              <w:jc w:val="center"/>
              <w:rPr>
                <w:bCs/>
              </w:rPr>
            </w:pPr>
            <w:r>
              <w:rPr>
                <w:bCs/>
              </w:rPr>
              <w:t>EGFr</w:t>
            </w:r>
          </w:p>
        </w:tc>
        <w:tc>
          <w:tcPr>
            <w:tcW w:w="4111" w:type="dxa"/>
            <w:shd w:val="clear" w:color="auto" w:fill="B8CCE4" w:themeFill="accent1" w:themeFillTint="66"/>
          </w:tcPr>
          <w:p w:rsidR="00A70D18" w:rsidRPr="00645872" w:rsidRDefault="00645872" w:rsidP="00645872">
            <w:pPr>
              <w:spacing w:before="120" w:after="120" w:line="360" w:lineRule="auto"/>
              <w:jc w:val="center"/>
              <w:rPr>
                <w:bCs/>
              </w:rPr>
            </w:pPr>
            <w:r>
              <w:rPr>
                <w:bCs/>
              </w:rPr>
              <w:t>Kolorektálny karcinóm</w:t>
            </w:r>
          </w:p>
        </w:tc>
      </w:tr>
      <w:tr w:rsidR="00A70D18" w:rsidTr="00645872">
        <w:tc>
          <w:tcPr>
            <w:tcW w:w="1809" w:type="dxa"/>
            <w:shd w:val="clear" w:color="auto" w:fill="365F91" w:themeFill="accent1" w:themeFillShade="BF"/>
          </w:tcPr>
          <w:p w:rsidR="00A70D18" w:rsidRPr="00645872" w:rsidRDefault="00A70D18" w:rsidP="00645872">
            <w:pPr>
              <w:spacing w:before="120" w:after="120" w:line="360" w:lineRule="auto"/>
              <w:jc w:val="center"/>
              <w:rPr>
                <w:bCs/>
                <w:color w:val="FFFFFF" w:themeColor="background1"/>
              </w:rPr>
            </w:pPr>
            <w:r w:rsidRPr="00645872">
              <w:rPr>
                <w:bCs/>
                <w:color w:val="FFFFFF" w:themeColor="background1"/>
              </w:rPr>
              <w:t>Rituximab</w:t>
            </w:r>
          </w:p>
        </w:tc>
        <w:tc>
          <w:tcPr>
            <w:tcW w:w="1560" w:type="dxa"/>
            <w:shd w:val="clear" w:color="auto" w:fill="95B3D7" w:themeFill="accent1" w:themeFillTint="99"/>
          </w:tcPr>
          <w:p w:rsidR="00A70D18" w:rsidRPr="00A70D18" w:rsidRDefault="00A70D18" w:rsidP="00645872">
            <w:pPr>
              <w:spacing w:before="120" w:after="120" w:line="360" w:lineRule="auto"/>
              <w:jc w:val="center"/>
              <w:rPr>
                <w:bCs/>
              </w:rPr>
            </w:pPr>
            <w:r w:rsidRPr="00A70D18">
              <w:rPr>
                <w:bCs/>
              </w:rPr>
              <w:t>Mabtera</w:t>
            </w:r>
          </w:p>
        </w:tc>
        <w:tc>
          <w:tcPr>
            <w:tcW w:w="1275" w:type="dxa"/>
            <w:shd w:val="clear" w:color="auto" w:fill="95B3D7" w:themeFill="accent1" w:themeFillTint="99"/>
          </w:tcPr>
          <w:p w:rsidR="00A70D18" w:rsidRPr="00645872" w:rsidRDefault="00645872" w:rsidP="00645872">
            <w:pPr>
              <w:spacing w:before="120" w:after="120" w:line="360" w:lineRule="auto"/>
              <w:jc w:val="center"/>
              <w:rPr>
                <w:bCs/>
              </w:rPr>
            </w:pPr>
            <w:r>
              <w:rPr>
                <w:bCs/>
              </w:rPr>
              <w:t>CD20</w:t>
            </w:r>
          </w:p>
        </w:tc>
        <w:tc>
          <w:tcPr>
            <w:tcW w:w="4111" w:type="dxa"/>
            <w:shd w:val="clear" w:color="auto" w:fill="95B3D7" w:themeFill="accent1" w:themeFillTint="99"/>
          </w:tcPr>
          <w:p w:rsidR="00A70D18" w:rsidRPr="00645872" w:rsidRDefault="00645872" w:rsidP="00645872">
            <w:pPr>
              <w:spacing w:before="120" w:after="120" w:line="360" w:lineRule="auto"/>
              <w:jc w:val="center"/>
              <w:rPr>
                <w:bCs/>
              </w:rPr>
            </w:pPr>
            <w:r>
              <w:rPr>
                <w:bCs/>
              </w:rPr>
              <w:t>Non – Hodgkinove lymfóny, chronická lymfocytárna leukémia</w:t>
            </w:r>
          </w:p>
        </w:tc>
      </w:tr>
      <w:tr w:rsidR="00A70D18" w:rsidTr="00645872">
        <w:tc>
          <w:tcPr>
            <w:tcW w:w="1809" w:type="dxa"/>
            <w:shd w:val="clear" w:color="auto" w:fill="365F91" w:themeFill="accent1" w:themeFillShade="BF"/>
          </w:tcPr>
          <w:p w:rsidR="00A70D18" w:rsidRPr="00645872" w:rsidRDefault="00645872" w:rsidP="00645872">
            <w:pPr>
              <w:spacing w:before="120" w:after="120" w:line="360" w:lineRule="auto"/>
              <w:jc w:val="center"/>
              <w:rPr>
                <w:bCs/>
                <w:color w:val="FFFFFF" w:themeColor="background1"/>
              </w:rPr>
            </w:pPr>
            <w:r w:rsidRPr="00645872">
              <w:rPr>
                <w:bCs/>
                <w:color w:val="FFFFFF" w:themeColor="background1"/>
              </w:rPr>
              <w:t>I-Tositumonab</w:t>
            </w:r>
          </w:p>
        </w:tc>
        <w:tc>
          <w:tcPr>
            <w:tcW w:w="1560" w:type="dxa"/>
            <w:shd w:val="clear" w:color="auto" w:fill="B8CCE4" w:themeFill="accent1" w:themeFillTint="66"/>
          </w:tcPr>
          <w:p w:rsidR="00A70D18" w:rsidRPr="00645872" w:rsidRDefault="00645872" w:rsidP="00645872">
            <w:pPr>
              <w:spacing w:before="120" w:after="120" w:line="360" w:lineRule="auto"/>
              <w:jc w:val="center"/>
              <w:rPr>
                <w:bCs/>
              </w:rPr>
            </w:pPr>
            <w:r>
              <w:rPr>
                <w:bCs/>
              </w:rPr>
              <w:t>Bexxar</w:t>
            </w:r>
          </w:p>
        </w:tc>
        <w:tc>
          <w:tcPr>
            <w:tcW w:w="1275" w:type="dxa"/>
            <w:shd w:val="clear" w:color="auto" w:fill="B8CCE4" w:themeFill="accent1" w:themeFillTint="66"/>
          </w:tcPr>
          <w:p w:rsidR="00A70D18" w:rsidRPr="00645872" w:rsidRDefault="00645872" w:rsidP="00645872">
            <w:pPr>
              <w:spacing w:before="120" w:after="120" w:line="360" w:lineRule="auto"/>
              <w:jc w:val="center"/>
              <w:rPr>
                <w:bCs/>
              </w:rPr>
            </w:pPr>
            <w:r>
              <w:rPr>
                <w:bCs/>
              </w:rPr>
              <w:t>CD20</w:t>
            </w:r>
          </w:p>
        </w:tc>
        <w:tc>
          <w:tcPr>
            <w:tcW w:w="4111" w:type="dxa"/>
            <w:shd w:val="clear" w:color="auto" w:fill="B8CCE4" w:themeFill="accent1" w:themeFillTint="66"/>
          </w:tcPr>
          <w:p w:rsidR="00A70D18" w:rsidRPr="00645872" w:rsidRDefault="00645872" w:rsidP="00645872">
            <w:pPr>
              <w:spacing w:before="120" w:after="120" w:line="360" w:lineRule="auto"/>
              <w:jc w:val="center"/>
              <w:rPr>
                <w:bCs/>
              </w:rPr>
            </w:pPr>
            <w:r>
              <w:rPr>
                <w:bCs/>
              </w:rPr>
              <w:t>Non – Hodgkinove lymfóny</w:t>
            </w:r>
          </w:p>
        </w:tc>
      </w:tr>
      <w:tr w:rsidR="00A70D18" w:rsidTr="00645872">
        <w:tc>
          <w:tcPr>
            <w:tcW w:w="1809" w:type="dxa"/>
            <w:shd w:val="clear" w:color="auto" w:fill="365F91" w:themeFill="accent1" w:themeFillShade="BF"/>
          </w:tcPr>
          <w:p w:rsidR="00A70D18" w:rsidRPr="00645872" w:rsidRDefault="00645872" w:rsidP="00645872">
            <w:pPr>
              <w:spacing w:before="120" w:after="120" w:line="360" w:lineRule="auto"/>
              <w:jc w:val="center"/>
              <w:rPr>
                <w:bCs/>
                <w:color w:val="FFFFFF" w:themeColor="background1"/>
              </w:rPr>
            </w:pPr>
            <w:r w:rsidRPr="00645872">
              <w:rPr>
                <w:bCs/>
                <w:color w:val="FFFFFF" w:themeColor="background1"/>
              </w:rPr>
              <w:t>Trastuzumab</w:t>
            </w:r>
          </w:p>
        </w:tc>
        <w:tc>
          <w:tcPr>
            <w:tcW w:w="1560" w:type="dxa"/>
            <w:shd w:val="clear" w:color="auto" w:fill="95B3D7" w:themeFill="accent1" w:themeFillTint="99"/>
          </w:tcPr>
          <w:p w:rsidR="00A70D18" w:rsidRPr="00645872" w:rsidRDefault="00645872" w:rsidP="00645872">
            <w:pPr>
              <w:spacing w:before="120" w:after="120" w:line="360" w:lineRule="auto"/>
              <w:jc w:val="center"/>
              <w:rPr>
                <w:bCs/>
              </w:rPr>
            </w:pPr>
            <w:r>
              <w:rPr>
                <w:bCs/>
              </w:rPr>
              <w:t>Herceptin</w:t>
            </w:r>
          </w:p>
        </w:tc>
        <w:tc>
          <w:tcPr>
            <w:tcW w:w="1275" w:type="dxa"/>
            <w:shd w:val="clear" w:color="auto" w:fill="95B3D7" w:themeFill="accent1" w:themeFillTint="99"/>
          </w:tcPr>
          <w:p w:rsidR="00A70D18" w:rsidRPr="00645872" w:rsidRDefault="00645872" w:rsidP="00645872">
            <w:pPr>
              <w:spacing w:before="120" w:after="120" w:line="360" w:lineRule="auto"/>
              <w:jc w:val="center"/>
              <w:rPr>
                <w:bCs/>
              </w:rPr>
            </w:pPr>
            <w:r>
              <w:rPr>
                <w:bCs/>
              </w:rPr>
              <w:t>HER2-neu</w:t>
            </w:r>
          </w:p>
        </w:tc>
        <w:tc>
          <w:tcPr>
            <w:tcW w:w="4111" w:type="dxa"/>
            <w:shd w:val="clear" w:color="auto" w:fill="95B3D7" w:themeFill="accent1" w:themeFillTint="99"/>
          </w:tcPr>
          <w:p w:rsidR="00A70D18" w:rsidRPr="00645872" w:rsidRDefault="00645872" w:rsidP="00645872">
            <w:pPr>
              <w:spacing w:before="120" w:after="120" w:line="360" w:lineRule="auto"/>
              <w:jc w:val="center"/>
              <w:rPr>
                <w:bCs/>
              </w:rPr>
            </w:pPr>
            <w:r>
              <w:rPr>
                <w:bCs/>
              </w:rPr>
              <w:t>Karcinóm prsníka</w:t>
            </w:r>
          </w:p>
        </w:tc>
      </w:tr>
    </w:tbl>
    <w:p w:rsidR="00AD3090" w:rsidRDefault="00AD3090" w:rsidP="00DE09B4">
      <w:pPr>
        <w:spacing w:before="120" w:after="120" w:line="360" w:lineRule="auto"/>
        <w:jc w:val="both"/>
        <w:rPr>
          <w:b/>
          <w:bCs/>
        </w:rPr>
      </w:pPr>
    </w:p>
    <w:p w:rsidR="00DE09B4" w:rsidRDefault="00DE09B4" w:rsidP="00DE09B4">
      <w:pPr>
        <w:spacing w:before="120" w:after="120" w:line="360" w:lineRule="auto"/>
        <w:jc w:val="both"/>
        <w:rPr>
          <w:bCs/>
        </w:rPr>
      </w:pPr>
      <w:r>
        <w:rPr>
          <w:bCs/>
        </w:rPr>
        <w:lastRenderedPageBreak/>
        <w:t xml:space="preserve">Tab. č. </w:t>
      </w:r>
      <w:r w:rsidR="00FC0A86">
        <w:rPr>
          <w:bCs/>
        </w:rPr>
        <w:t>8</w:t>
      </w:r>
      <w:r>
        <w:rPr>
          <w:bCs/>
        </w:rPr>
        <w:t xml:space="preserve"> Monoklonálne protilátky v terapii neonkologických ochorení</w:t>
      </w:r>
      <w:r w:rsidR="00C20338">
        <w:rPr>
          <w:bCs/>
        </w:rPr>
        <w:t xml:space="preserve"> </w:t>
      </w:r>
      <w:r w:rsidR="00C20338" w:rsidRPr="00772406">
        <w:rPr>
          <w:bCs/>
        </w:rPr>
        <w:t>(Madriak, 2008)</w:t>
      </w:r>
    </w:p>
    <w:tbl>
      <w:tblPr>
        <w:tblStyle w:val="Mkatabulky"/>
        <w:tblW w:w="0" w:type="auto"/>
        <w:tblBorders>
          <w:top w:val="single" w:sz="18" w:space="0" w:color="FFFFFF" w:themeColor="background1"/>
          <w:left w:val="single" w:sz="18" w:space="0" w:color="FFFFFF" w:themeColor="background1"/>
          <w:bottom w:val="single" w:sz="18" w:space="0" w:color="FFFFFF" w:themeColor="background1"/>
          <w:right w:val="single" w:sz="18" w:space="0" w:color="FFFFFF" w:themeColor="background1"/>
          <w:insideH w:val="single" w:sz="18" w:space="0" w:color="FFFFFF" w:themeColor="background1"/>
          <w:insideV w:val="single" w:sz="18" w:space="0" w:color="FFFFFF" w:themeColor="background1"/>
        </w:tblBorders>
        <w:tblLook w:val="04A0" w:firstRow="1" w:lastRow="0" w:firstColumn="1" w:lastColumn="0" w:noHBand="0" w:noVBand="1"/>
      </w:tblPr>
      <w:tblGrid>
        <w:gridCol w:w="4501"/>
        <w:gridCol w:w="4502"/>
      </w:tblGrid>
      <w:tr w:rsidR="00C20338" w:rsidTr="00253FC6">
        <w:trPr>
          <w:trHeight w:val="734"/>
        </w:trPr>
        <w:tc>
          <w:tcPr>
            <w:tcW w:w="4638" w:type="dxa"/>
            <w:shd w:val="clear" w:color="auto" w:fill="365F91" w:themeFill="accent1" w:themeFillShade="BF"/>
          </w:tcPr>
          <w:p w:rsidR="00C20338" w:rsidRPr="00C20338" w:rsidRDefault="00C20338" w:rsidP="00DE09B4">
            <w:pPr>
              <w:spacing w:before="120" w:after="120" w:line="360" w:lineRule="auto"/>
              <w:jc w:val="both"/>
              <w:rPr>
                <w:bCs/>
                <w:color w:val="FFFFFF" w:themeColor="background1"/>
              </w:rPr>
            </w:pPr>
            <w:r w:rsidRPr="00C20338">
              <w:rPr>
                <w:bCs/>
                <w:color w:val="FFFFFF" w:themeColor="background1"/>
              </w:rPr>
              <w:t>Monoklonálna protilátka</w:t>
            </w:r>
          </w:p>
        </w:tc>
        <w:tc>
          <w:tcPr>
            <w:tcW w:w="4638" w:type="dxa"/>
            <w:shd w:val="clear" w:color="auto" w:fill="365F91" w:themeFill="accent1" w:themeFillShade="BF"/>
          </w:tcPr>
          <w:p w:rsidR="00C20338" w:rsidRPr="00C20338" w:rsidRDefault="00C20338" w:rsidP="00DE09B4">
            <w:pPr>
              <w:spacing w:before="120" w:after="120" w:line="360" w:lineRule="auto"/>
              <w:jc w:val="both"/>
              <w:rPr>
                <w:bCs/>
                <w:color w:val="FFFFFF" w:themeColor="background1"/>
              </w:rPr>
            </w:pPr>
            <w:r w:rsidRPr="00C20338">
              <w:rPr>
                <w:bCs/>
                <w:color w:val="FFFFFF" w:themeColor="background1"/>
              </w:rPr>
              <w:t>Diagnóza</w:t>
            </w:r>
          </w:p>
        </w:tc>
      </w:tr>
      <w:tr w:rsidR="00C20338" w:rsidTr="00253FC6">
        <w:trPr>
          <w:trHeight w:val="758"/>
        </w:trPr>
        <w:tc>
          <w:tcPr>
            <w:tcW w:w="4638" w:type="dxa"/>
            <w:shd w:val="clear" w:color="auto" w:fill="365F91" w:themeFill="accent1" w:themeFillShade="BF"/>
          </w:tcPr>
          <w:p w:rsidR="00C20338" w:rsidRPr="00C20338" w:rsidRDefault="00C20338" w:rsidP="00DE09B4">
            <w:pPr>
              <w:spacing w:before="120" w:after="120" w:line="360" w:lineRule="auto"/>
              <w:jc w:val="both"/>
              <w:rPr>
                <w:bCs/>
                <w:color w:val="FFFFFF" w:themeColor="background1"/>
              </w:rPr>
            </w:pPr>
            <w:r w:rsidRPr="00C20338">
              <w:rPr>
                <w:bCs/>
                <w:color w:val="FFFFFF" w:themeColor="background1"/>
              </w:rPr>
              <w:t>Natalizumab</w:t>
            </w:r>
          </w:p>
        </w:tc>
        <w:tc>
          <w:tcPr>
            <w:tcW w:w="4638" w:type="dxa"/>
            <w:shd w:val="clear" w:color="auto" w:fill="95B3D7" w:themeFill="accent1" w:themeFillTint="99"/>
          </w:tcPr>
          <w:p w:rsidR="00C20338" w:rsidRDefault="00C20338" w:rsidP="00DE09B4">
            <w:pPr>
              <w:spacing w:before="120" w:after="120" w:line="360" w:lineRule="auto"/>
              <w:jc w:val="both"/>
              <w:rPr>
                <w:bCs/>
              </w:rPr>
            </w:pPr>
            <w:r>
              <w:rPr>
                <w:bCs/>
              </w:rPr>
              <w:t>Skleróza multiplex</w:t>
            </w:r>
          </w:p>
        </w:tc>
      </w:tr>
      <w:tr w:rsidR="00C20338" w:rsidTr="00253FC6">
        <w:trPr>
          <w:trHeight w:val="734"/>
        </w:trPr>
        <w:tc>
          <w:tcPr>
            <w:tcW w:w="4638" w:type="dxa"/>
            <w:shd w:val="clear" w:color="auto" w:fill="365F91" w:themeFill="accent1" w:themeFillShade="BF"/>
          </w:tcPr>
          <w:p w:rsidR="00C20338" w:rsidRPr="00C20338" w:rsidRDefault="00C20338" w:rsidP="00DE09B4">
            <w:pPr>
              <w:spacing w:before="120" w:after="120" w:line="360" w:lineRule="auto"/>
              <w:jc w:val="both"/>
              <w:rPr>
                <w:bCs/>
                <w:color w:val="FFFFFF" w:themeColor="background1"/>
              </w:rPr>
            </w:pPr>
            <w:r w:rsidRPr="00C20338">
              <w:rPr>
                <w:bCs/>
                <w:color w:val="FFFFFF" w:themeColor="background1"/>
              </w:rPr>
              <w:t>Omalizumab</w:t>
            </w:r>
          </w:p>
        </w:tc>
        <w:tc>
          <w:tcPr>
            <w:tcW w:w="4638" w:type="dxa"/>
            <w:shd w:val="clear" w:color="auto" w:fill="B8CCE4" w:themeFill="accent1" w:themeFillTint="66"/>
          </w:tcPr>
          <w:p w:rsidR="00C20338" w:rsidRDefault="00C20338" w:rsidP="00DE09B4">
            <w:pPr>
              <w:spacing w:before="120" w:after="120" w:line="360" w:lineRule="auto"/>
              <w:jc w:val="both"/>
              <w:rPr>
                <w:bCs/>
              </w:rPr>
            </w:pPr>
            <w:r>
              <w:rPr>
                <w:bCs/>
              </w:rPr>
              <w:t>Astma</w:t>
            </w:r>
          </w:p>
        </w:tc>
      </w:tr>
      <w:tr w:rsidR="00C20338" w:rsidTr="00253FC6">
        <w:trPr>
          <w:trHeight w:val="758"/>
        </w:trPr>
        <w:tc>
          <w:tcPr>
            <w:tcW w:w="4638" w:type="dxa"/>
            <w:shd w:val="clear" w:color="auto" w:fill="365F91" w:themeFill="accent1" w:themeFillShade="BF"/>
          </w:tcPr>
          <w:p w:rsidR="00C20338" w:rsidRPr="00C20338" w:rsidRDefault="00C20338" w:rsidP="00DE09B4">
            <w:pPr>
              <w:spacing w:before="120" w:after="120" w:line="360" w:lineRule="auto"/>
              <w:jc w:val="both"/>
              <w:rPr>
                <w:bCs/>
                <w:color w:val="FFFFFF" w:themeColor="background1"/>
              </w:rPr>
            </w:pPr>
            <w:r w:rsidRPr="00C20338">
              <w:rPr>
                <w:bCs/>
                <w:color w:val="FFFFFF" w:themeColor="background1"/>
              </w:rPr>
              <w:t>Ustekinumab</w:t>
            </w:r>
          </w:p>
        </w:tc>
        <w:tc>
          <w:tcPr>
            <w:tcW w:w="4638" w:type="dxa"/>
            <w:shd w:val="clear" w:color="auto" w:fill="95B3D7" w:themeFill="accent1" w:themeFillTint="99"/>
          </w:tcPr>
          <w:p w:rsidR="00C20338" w:rsidRDefault="00C20338" w:rsidP="00DE09B4">
            <w:pPr>
              <w:spacing w:before="120" w:after="120" w:line="360" w:lineRule="auto"/>
              <w:jc w:val="both"/>
              <w:rPr>
                <w:bCs/>
              </w:rPr>
            </w:pPr>
            <w:r>
              <w:rPr>
                <w:bCs/>
              </w:rPr>
              <w:t>Psoriáza</w:t>
            </w:r>
          </w:p>
        </w:tc>
      </w:tr>
      <w:tr w:rsidR="00C20338" w:rsidTr="00253FC6">
        <w:trPr>
          <w:trHeight w:val="2152"/>
        </w:trPr>
        <w:tc>
          <w:tcPr>
            <w:tcW w:w="4638" w:type="dxa"/>
            <w:shd w:val="clear" w:color="auto" w:fill="365F91" w:themeFill="accent1" w:themeFillShade="BF"/>
          </w:tcPr>
          <w:p w:rsidR="00C20338" w:rsidRPr="00C20338" w:rsidRDefault="00C20338" w:rsidP="00DE09B4">
            <w:pPr>
              <w:spacing w:before="120" w:after="120" w:line="360" w:lineRule="auto"/>
              <w:jc w:val="both"/>
              <w:rPr>
                <w:bCs/>
                <w:color w:val="FFFFFF" w:themeColor="background1"/>
              </w:rPr>
            </w:pPr>
            <w:r w:rsidRPr="00C20338">
              <w:rPr>
                <w:bCs/>
                <w:color w:val="FFFFFF" w:themeColor="background1"/>
              </w:rPr>
              <w:t>Denosumab</w:t>
            </w:r>
          </w:p>
        </w:tc>
        <w:tc>
          <w:tcPr>
            <w:tcW w:w="4638" w:type="dxa"/>
            <w:shd w:val="clear" w:color="auto" w:fill="B8CCE4" w:themeFill="accent1" w:themeFillTint="66"/>
          </w:tcPr>
          <w:p w:rsidR="00C20338" w:rsidRDefault="00C20338" w:rsidP="00DE09B4">
            <w:pPr>
              <w:spacing w:before="120" w:after="120" w:line="360" w:lineRule="auto"/>
              <w:jc w:val="both"/>
              <w:rPr>
                <w:bCs/>
              </w:rPr>
            </w:pPr>
            <w:r>
              <w:rPr>
                <w:bCs/>
              </w:rPr>
              <w:t>Osteoporóza u žien po menopauze, terapia úbytkukostnej hmoty v súvislosti s hormonálnou abláciou u mužov s karcinómom prostaty</w:t>
            </w:r>
          </w:p>
        </w:tc>
      </w:tr>
      <w:tr w:rsidR="00C20338" w:rsidTr="00253FC6">
        <w:trPr>
          <w:trHeight w:val="758"/>
        </w:trPr>
        <w:tc>
          <w:tcPr>
            <w:tcW w:w="4638" w:type="dxa"/>
            <w:shd w:val="clear" w:color="auto" w:fill="365F91" w:themeFill="accent1" w:themeFillShade="BF"/>
          </w:tcPr>
          <w:p w:rsidR="00C20338" w:rsidRPr="00C20338" w:rsidRDefault="00C20338" w:rsidP="00DE09B4">
            <w:pPr>
              <w:spacing w:before="120" w:after="120" w:line="360" w:lineRule="auto"/>
              <w:jc w:val="both"/>
              <w:rPr>
                <w:bCs/>
                <w:color w:val="FFFFFF" w:themeColor="background1"/>
              </w:rPr>
            </w:pPr>
            <w:r w:rsidRPr="00C20338">
              <w:rPr>
                <w:bCs/>
                <w:color w:val="FFFFFF" w:themeColor="background1"/>
              </w:rPr>
              <w:t>Certolizumab</w:t>
            </w:r>
          </w:p>
        </w:tc>
        <w:tc>
          <w:tcPr>
            <w:tcW w:w="4638" w:type="dxa"/>
            <w:shd w:val="clear" w:color="auto" w:fill="95B3D7" w:themeFill="accent1" w:themeFillTint="99"/>
          </w:tcPr>
          <w:p w:rsidR="00C20338" w:rsidRDefault="00C20338" w:rsidP="00DE09B4">
            <w:pPr>
              <w:spacing w:before="120" w:after="120" w:line="360" w:lineRule="auto"/>
              <w:jc w:val="both"/>
              <w:rPr>
                <w:bCs/>
              </w:rPr>
            </w:pPr>
            <w:r>
              <w:rPr>
                <w:bCs/>
              </w:rPr>
              <w:t>Reumatická artritída</w:t>
            </w:r>
          </w:p>
        </w:tc>
      </w:tr>
      <w:tr w:rsidR="00C20338" w:rsidTr="00253FC6">
        <w:trPr>
          <w:trHeight w:val="734"/>
        </w:trPr>
        <w:tc>
          <w:tcPr>
            <w:tcW w:w="4638" w:type="dxa"/>
            <w:shd w:val="clear" w:color="auto" w:fill="365F91" w:themeFill="accent1" w:themeFillShade="BF"/>
          </w:tcPr>
          <w:p w:rsidR="00C20338" w:rsidRPr="00C20338" w:rsidRDefault="00C20338" w:rsidP="00DE09B4">
            <w:pPr>
              <w:spacing w:before="120" w:after="120" w:line="360" w:lineRule="auto"/>
              <w:jc w:val="both"/>
              <w:rPr>
                <w:bCs/>
                <w:color w:val="FFFFFF" w:themeColor="background1"/>
              </w:rPr>
            </w:pPr>
            <w:r w:rsidRPr="00C20338">
              <w:rPr>
                <w:bCs/>
                <w:color w:val="FFFFFF" w:themeColor="background1"/>
              </w:rPr>
              <w:t>Golimumab</w:t>
            </w:r>
          </w:p>
        </w:tc>
        <w:tc>
          <w:tcPr>
            <w:tcW w:w="4638" w:type="dxa"/>
            <w:shd w:val="clear" w:color="auto" w:fill="B8CCE4" w:themeFill="accent1" w:themeFillTint="66"/>
          </w:tcPr>
          <w:p w:rsidR="00C20338" w:rsidRDefault="00C20338" w:rsidP="00DE09B4">
            <w:pPr>
              <w:spacing w:before="120" w:after="120" w:line="360" w:lineRule="auto"/>
              <w:jc w:val="both"/>
              <w:rPr>
                <w:bCs/>
              </w:rPr>
            </w:pPr>
            <w:r>
              <w:rPr>
                <w:bCs/>
              </w:rPr>
              <w:t>Reumatická artritída</w:t>
            </w:r>
          </w:p>
        </w:tc>
      </w:tr>
      <w:tr w:rsidR="00C20338" w:rsidTr="00253FC6">
        <w:trPr>
          <w:trHeight w:val="758"/>
        </w:trPr>
        <w:tc>
          <w:tcPr>
            <w:tcW w:w="4638" w:type="dxa"/>
            <w:shd w:val="clear" w:color="auto" w:fill="365F91" w:themeFill="accent1" w:themeFillShade="BF"/>
          </w:tcPr>
          <w:p w:rsidR="00C20338" w:rsidRPr="00C20338" w:rsidRDefault="00C20338" w:rsidP="00DE09B4">
            <w:pPr>
              <w:spacing w:before="120" w:after="120" w:line="360" w:lineRule="auto"/>
              <w:jc w:val="both"/>
              <w:rPr>
                <w:bCs/>
                <w:color w:val="FFFFFF" w:themeColor="background1"/>
              </w:rPr>
            </w:pPr>
            <w:r w:rsidRPr="00C20338">
              <w:rPr>
                <w:bCs/>
                <w:color w:val="FFFFFF" w:themeColor="background1"/>
              </w:rPr>
              <w:t>Palivizumab</w:t>
            </w:r>
          </w:p>
        </w:tc>
        <w:tc>
          <w:tcPr>
            <w:tcW w:w="4638" w:type="dxa"/>
            <w:shd w:val="clear" w:color="auto" w:fill="95B3D7" w:themeFill="accent1" w:themeFillTint="99"/>
          </w:tcPr>
          <w:p w:rsidR="00C20338" w:rsidRDefault="00C20338" w:rsidP="00DE09B4">
            <w:pPr>
              <w:spacing w:before="120" w:after="120" w:line="360" w:lineRule="auto"/>
              <w:jc w:val="both"/>
              <w:rPr>
                <w:bCs/>
              </w:rPr>
            </w:pPr>
            <w:r>
              <w:rPr>
                <w:bCs/>
              </w:rPr>
              <w:t>Respiračný syncyciálny vírus u detí</w:t>
            </w:r>
          </w:p>
        </w:tc>
      </w:tr>
    </w:tbl>
    <w:p w:rsidR="00DE09B4" w:rsidRDefault="00DE09B4" w:rsidP="00DE09B4">
      <w:pPr>
        <w:spacing w:before="120" w:after="120" w:line="360" w:lineRule="auto"/>
        <w:jc w:val="both"/>
        <w:rPr>
          <w:bCs/>
        </w:rPr>
      </w:pPr>
    </w:p>
    <w:p w:rsidR="00253FC6" w:rsidRPr="00462DA1" w:rsidRDefault="00FC0A86" w:rsidP="00253FC6">
      <w:pPr>
        <w:pStyle w:val="Nadpis1"/>
        <w:spacing w:line="360" w:lineRule="auto"/>
        <w:jc w:val="both"/>
      </w:pPr>
      <w:bookmarkStart w:id="15" w:name="_Toc66642032"/>
      <w:r>
        <w:t xml:space="preserve">2.8 </w:t>
      </w:r>
      <w:r w:rsidR="00253FC6" w:rsidRPr="00462DA1">
        <w:t>Cielená liečba v onkológii</w:t>
      </w:r>
      <w:bookmarkEnd w:id="15"/>
    </w:p>
    <w:p w:rsidR="00253FC6" w:rsidRDefault="00253FC6" w:rsidP="00253FC6">
      <w:pPr>
        <w:spacing w:line="360" w:lineRule="auto"/>
        <w:ind w:firstLine="708"/>
        <w:jc w:val="both"/>
      </w:pPr>
      <w:r>
        <w:t xml:space="preserve">Cielená terapia v súčasnosti predstavuje novodobú etapu protinádorových liečiv. S jej používaním sa otvorili aj nové otázky z oblasti patofyziológie nádorového ochorenia a o možnostiach individuálnej protinádorovej terapie. Mechanizmus pôsobenia cielenej terapie je odlišný od účinku tradičnej chemoterapie. Tradičné cytostatiká inhibujú delenie buniek a to tým, že poškodzujú bunkové štruktúry alebo zasahujú do bunkového metabolizmu. Ich efekt nie je špecifický, čo znamená ich rovnaké pôsobenie na rýchle delenie malígnych buniek ako aj zdravých normálnych buniek. Sila účinku zvyčajných cytostatík na jednotlivé tkanivá závisí od stupňa proliferácie. Tkanivá s väčším počtom proliferujúcich buniek sú vulnerabilnejšie než pomaly proliferujúce tkanivá. Neoddeliteľnou súčasťou ich terapeutického pôsobenia je aj škodlivé pôsobenie rýchlo proliferujúcich zdravých tkanív. </w:t>
      </w:r>
      <w:r>
        <w:lastRenderedPageBreak/>
        <w:t xml:space="preserve">V klinickom obraze sa to prejaví toxicitou, ako napr. útlmom hematopoézy, mukozitídou alebo alopéciou </w:t>
      </w:r>
      <w:r w:rsidRPr="00772406">
        <w:t>(Mardiak, 2008).</w:t>
      </w:r>
    </w:p>
    <w:p w:rsidR="00253FC6" w:rsidRDefault="00253FC6" w:rsidP="00253FC6">
      <w:pPr>
        <w:spacing w:line="360" w:lineRule="auto"/>
        <w:ind w:firstLine="708"/>
        <w:jc w:val="both"/>
      </w:pPr>
      <w:r>
        <w:t xml:space="preserve">Cielená liečba naproti efektu pôvodných tradičných cytostatík blokuje proliferáciu buniek pôsobením na molekuly, ktoré sú nevyhnutné pre vznik a rast nádoru. Niektoré biologické látky sa nachádzajú aj v zdravých tkanivách, no v nádoroch je zvýšená ich expresia. Môžu sa vyskytovať v zmutovanej forme. Molekuly využívané ako ciele protinádorovej terapie sa nemusia nachádzať u všetkých pacientov s rovnakým histologickým typom nádoru. Používanie cielenej terapie je teda podmienené dôkazom individuálnej štruktúry v nádorovom tkanive u konkrétneho pacienta. Charakteristickejší zásah do patogenézy nádorového ochorenia je spojený s očakávaním vyššieho účinku a znížením toxicity </w:t>
      </w:r>
      <w:r w:rsidRPr="00772406">
        <w:t>(Mardiak, 2008).</w:t>
      </w:r>
    </w:p>
    <w:p w:rsidR="00253FC6" w:rsidRDefault="00253FC6" w:rsidP="00DE09B4">
      <w:pPr>
        <w:spacing w:before="120" w:after="120" w:line="360" w:lineRule="auto"/>
        <w:jc w:val="both"/>
        <w:rPr>
          <w:bCs/>
        </w:rPr>
      </w:pPr>
    </w:p>
    <w:p w:rsidR="003C6709" w:rsidRDefault="003C6709" w:rsidP="00DE09B4">
      <w:pPr>
        <w:spacing w:before="120" w:after="120" w:line="360" w:lineRule="auto"/>
        <w:jc w:val="both"/>
        <w:rPr>
          <w:bCs/>
        </w:rPr>
      </w:pPr>
    </w:p>
    <w:p w:rsidR="003C6709" w:rsidRDefault="003C6709" w:rsidP="00DE09B4">
      <w:pPr>
        <w:spacing w:before="120" w:after="120" w:line="360" w:lineRule="auto"/>
        <w:jc w:val="both"/>
        <w:rPr>
          <w:bCs/>
        </w:rPr>
      </w:pPr>
    </w:p>
    <w:p w:rsidR="003C6709" w:rsidRDefault="003C6709" w:rsidP="00DE09B4">
      <w:pPr>
        <w:spacing w:before="120" w:after="120" w:line="360" w:lineRule="auto"/>
        <w:jc w:val="both"/>
        <w:rPr>
          <w:bCs/>
        </w:rPr>
      </w:pPr>
    </w:p>
    <w:p w:rsidR="003C6709" w:rsidRDefault="003C6709" w:rsidP="00DE09B4">
      <w:pPr>
        <w:spacing w:before="120" w:after="120" w:line="360" w:lineRule="auto"/>
        <w:jc w:val="both"/>
        <w:rPr>
          <w:bCs/>
        </w:rPr>
      </w:pPr>
    </w:p>
    <w:p w:rsidR="003C6709" w:rsidRDefault="003C6709" w:rsidP="00DE09B4">
      <w:pPr>
        <w:spacing w:before="120" w:after="120" w:line="360" w:lineRule="auto"/>
        <w:jc w:val="both"/>
        <w:rPr>
          <w:bCs/>
        </w:rPr>
      </w:pPr>
    </w:p>
    <w:p w:rsidR="003C6709" w:rsidRDefault="003C6709" w:rsidP="00DE09B4">
      <w:pPr>
        <w:spacing w:before="120" w:after="120" w:line="360" w:lineRule="auto"/>
        <w:jc w:val="both"/>
        <w:rPr>
          <w:bCs/>
        </w:rPr>
      </w:pPr>
    </w:p>
    <w:p w:rsidR="003C6709" w:rsidRDefault="003C6709" w:rsidP="00DE09B4">
      <w:pPr>
        <w:spacing w:before="120" w:after="120" w:line="360" w:lineRule="auto"/>
        <w:jc w:val="both"/>
        <w:rPr>
          <w:bCs/>
        </w:rPr>
      </w:pPr>
    </w:p>
    <w:p w:rsidR="003C6709" w:rsidRDefault="003C6709" w:rsidP="00DE09B4">
      <w:pPr>
        <w:spacing w:before="120" w:after="120" w:line="360" w:lineRule="auto"/>
        <w:jc w:val="both"/>
        <w:rPr>
          <w:bCs/>
        </w:rPr>
      </w:pPr>
    </w:p>
    <w:p w:rsidR="003C6709" w:rsidRDefault="003C6709" w:rsidP="00DE09B4">
      <w:pPr>
        <w:spacing w:before="120" w:after="120" w:line="360" w:lineRule="auto"/>
        <w:jc w:val="both"/>
        <w:rPr>
          <w:bCs/>
        </w:rPr>
      </w:pPr>
    </w:p>
    <w:p w:rsidR="003C6709" w:rsidRDefault="003C6709" w:rsidP="00DE09B4">
      <w:pPr>
        <w:spacing w:before="120" w:after="120" w:line="360" w:lineRule="auto"/>
        <w:jc w:val="both"/>
        <w:rPr>
          <w:bCs/>
        </w:rPr>
      </w:pPr>
    </w:p>
    <w:p w:rsidR="003C6709" w:rsidRDefault="003C6709" w:rsidP="00DE09B4">
      <w:pPr>
        <w:spacing w:before="120" w:after="120" w:line="360" w:lineRule="auto"/>
        <w:jc w:val="both"/>
        <w:rPr>
          <w:bCs/>
        </w:rPr>
      </w:pPr>
    </w:p>
    <w:p w:rsidR="003C6709" w:rsidRDefault="003C6709" w:rsidP="00DE09B4">
      <w:pPr>
        <w:spacing w:before="120" w:after="120" w:line="360" w:lineRule="auto"/>
        <w:jc w:val="both"/>
        <w:rPr>
          <w:bCs/>
        </w:rPr>
      </w:pPr>
    </w:p>
    <w:p w:rsidR="003C6709" w:rsidRDefault="003C6709" w:rsidP="00DE09B4">
      <w:pPr>
        <w:spacing w:before="120" w:after="120" w:line="360" w:lineRule="auto"/>
        <w:jc w:val="both"/>
        <w:rPr>
          <w:bCs/>
        </w:rPr>
      </w:pPr>
    </w:p>
    <w:p w:rsidR="003C6709" w:rsidRDefault="003C6709" w:rsidP="00DE09B4">
      <w:pPr>
        <w:spacing w:before="120" w:after="120" w:line="360" w:lineRule="auto"/>
        <w:jc w:val="both"/>
        <w:rPr>
          <w:bCs/>
        </w:rPr>
      </w:pPr>
    </w:p>
    <w:p w:rsidR="003C6709" w:rsidRDefault="003C6709" w:rsidP="00DE09B4">
      <w:pPr>
        <w:spacing w:before="120" w:after="120" w:line="360" w:lineRule="auto"/>
        <w:jc w:val="both"/>
        <w:rPr>
          <w:bCs/>
        </w:rPr>
      </w:pPr>
    </w:p>
    <w:p w:rsidR="003C6709" w:rsidRDefault="003C6709" w:rsidP="00DE09B4">
      <w:pPr>
        <w:spacing w:before="120" w:after="120" w:line="360" w:lineRule="auto"/>
        <w:jc w:val="both"/>
        <w:rPr>
          <w:bCs/>
        </w:rPr>
      </w:pPr>
    </w:p>
    <w:p w:rsidR="003C6709" w:rsidRDefault="003C6709" w:rsidP="009E3248">
      <w:pPr>
        <w:pStyle w:val="Nadpis1"/>
        <w:spacing w:line="360" w:lineRule="auto"/>
      </w:pPr>
      <w:bookmarkStart w:id="16" w:name="_Toc66642033"/>
      <w:r>
        <w:lastRenderedPageBreak/>
        <w:t>Záver</w:t>
      </w:r>
      <w:bookmarkEnd w:id="16"/>
    </w:p>
    <w:p w:rsidR="003C6709" w:rsidRDefault="009E3248" w:rsidP="00C13927">
      <w:pPr>
        <w:spacing w:line="360" w:lineRule="auto"/>
        <w:jc w:val="both"/>
      </w:pPr>
      <w:r>
        <w:tab/>
      </w:r>
      <w:r w:rsidR="00C13927">
        <w:t xml:space="preserve">Môžeme konštatovať, že monoklonálne protilátky majú vysoké využitie vo vede, výskume či medicíne. Priniesli veľký pokrok v terapiách ochorení. Na základe naštudovanej literatúre môžeme zhodnotiť, že práve monoklonálne protilátky môžu predlžiť život miliónom obyvateľstva tejto planéty. </w:t>
      </w:r>
    </w:p>
    <w:p w:rsidR="003C6709" w:rsidRDefault="00C13927" w:rsidP="00C13927">
      <w:pPr>
        <w:spacing w:line="360" w:lineRule="auto"/>
        <w:jc w:val="both"/>
      </w:pPr>
      <w:r>
        <w:tab/>
        <w:t>Tak ako všetky látky (lieky), ktoré naše telo prijíma tak aj tieto mAb majú svoje pozitíva aj negatíva.</w:t>
      </w:r>
    </w:p>
    <w:p w:rsidR="003C6709" w:rsidRDefault="003C6709" w:rsidP="003C6709"/>
    <w:p w:rsidR="003C6709" w:rsidRDefault="003C6709" w:rsidP="003C6709"/>
    <w:p w:rsidR="003C6709" w:rsidRDefault="003C6709" w:rsidP="003C6709"/>
    <w:p w:rsidR="003C6709" w:rsidRDefault="003C6709" w:rsidP="003C6709"/>
    <w:p w:rsidR="003C6709" w:rsidRDefault="003C6709" w:rsidP="003C6709"/>
    <w:p w:rsidR="003C6709" w:rsidRDefault="003C6709" w:rsidP="003C6709"/>
    <w:p w:rsidR="003C6709" w:rsidRDefault="003C6709" w:rsidP="003C6709"/>
    <w:p w:rsidR="003C6709" w:rsidRDefault="003C6709" w:rsidP="003C6709"/>
    <w:p w:rsidR="003C6709" w:rsidRDefault="003C6709" w:rsidP="003C6709"/>
    <w:p w:rsidR="003C6709" w:rsidRDefault="003C6709" w:rsidP="003C6709"/>
    <w:p w:rsidR="003C6709" w:rsidRDefault="003C6709" w:rsidP="003C6709"/>
    <w:p w:rsidR="003C6709" w:rsidRDefault="003C6709" w:rsidP="003C6709"/>
    <w:p w:rsidR="003C6709" w:rsidRDefault="003C6709" w:rsidP="003C6709"/>
    <w:p w:rsidR="003C6709" w:rsidRDefault="003C6709" w:rsidP="003C6709"/>
    <w:p w:rsidR="003C6709" w:rsidRDefault="003C6709" w:rsidP="003C6709"/>
    <w:p w:rsidR="003C6709" w:rsidRDefault="003C6709" w:rsidP="003C6709"/>
    <w:p w:rsidR="003C6709" w:rsidRDefault="003C6709" w:rsidP="003C6709"/>
    <w:p w:rsidR="003C6709" w:rsidRDefault="003C6709" w:rsidP="003C6709"/>
    <w:p w:rsidR="003C6709" w:rsidRDefault="003C6709" w:rsidP="003C6709"/>
    <w:p w:rsidR="003C6709" w:rsidRDefault="003C6709" w:rsidP="003C6709"/>
    <w:p w:rsidR="003C6709" w:rsidRDefault="003C6709" w:rsidP="003C6709"/>
    <w:p w:rsidR="003C6709" w:rsidRDefault="003C6709" w:rsidP="003C6709"/>
    <w:p w:rsidR="003C6709" w:rsidRDefault="003C6709" w:rsidP="003C6709"/>
    <w:p w:rsidR="003C6709" w:rsidRDefault="003C6709" w:rsidP="003C6709"/>
    <w:p w:rsidR="003C6709" w:rsidRDefault="003C6709" w:rsidP="003C6709"/>
    <w:p w:rsidR="003C6709" w:rsidRDefault="003C6709" w:rsidP="003C6709"/>
    <w:p w:rsidR="003C6709" w:rsidRDefault="003C6709" w:rsidP="003C6709"/>
    <w:p w:rsidR="003C6709" w:rsidRDefault="003C6709" w:rsidP="003C6709"/>
    <w:p w:rsidR="003C6709" w:rsidRDefault="003C6709" w:rsidP="003C6709"/>
    <w:p w:rsidR="003C6709" w:rsidRDefault="003C6709" w:rsidP="003C6709"/>
    <w:p w:rsidR="003C6709" w:rsidRDefault="003C6709" w:rsidP="003C6709"/>
    <w:p w:rsidR="003C6709" w:rsidRDefault="003C6709" w:rsidP="003C6709"/>
    <w:p w:rsidR="003C6709" w:rsidRDefault="003C6709" w:rsidP="003C6709"/>
    <w:p w:rsidR="003C6709" w:rsidRDefault="003C6709" w:rsidP="003C6709"/>
    <w:p w:rsidR="003C6709" w:rsidRDefault="003C6709" w:rsidP="003C6709"/>
    <w:p w:rsidR="003C6709" w:rsidRDefault="003C6709" w:rsidP="003C6709"/>
    <w:p w:rsidR="003C6709" w:rsidRDefault="003C6709" w:rsidP="003C6709"/>
    <w:p w:rsidR="003C6709" w:rsidRDefault="003C6709" w:rsidP="003C6709"/>
    <w:p w:rsidR="003C6709" w:rsidRDefault="003C6709" w:rsidP="003C6709"/>
    <w:p w:rsidR="003C6709" w:rsidRDefault="003C6709" w:rsidP="003C6709">
      <w:pPr>
        <w:pStyle w:val="Nadpis1"/>
      </w:pPr>
      <w:bookmarkStart w:id="17" w:name="_Toc66642034"/>
      <w:r>
        <w:lastRenderedPageBreak/>
        <w:t>Zoznam použitej literatúry</w:t>
      </w:r>
      <w:bookmarkEnd w:id="17"/>
    </w:p>
    <w:p w:rsidR="003C6709" w:rsidRPr="003C6709" w:rsidRDefault="003C6709" w:rsidP="003C6709"/>
    <w:p w:rsidR="003C6709" w:rsidRDefault="003C6709" w:rsidP="003C6709">
      <w:pPr>
        <w:spacing w:line="360" w:lineRule="auto"/>
        <w:jc w:val="both"/>
        <w:rPr>
          <w:bCs/>
        </w:rPr>
      </w:pPr>
      <w:r>
        <w:rPr>
          <w:bCs/>
        </w:rPr>
        <w:t xml:space="preserve">ABBAS, A. LICHTMAN, A. – PILLAI, S. </w:t>
      </w:r>
      <w:r>
        <w:rPr>
          <w:bCs/>
          <w:i/>
        </w:rPr>
        <w:t xml:space="preserve">Cellular and molecular imunology 6. vyd. </w:t>
      </w:r>
      <w:r>
        <w:rPr>
          <w:bCs/>
        </w:rPr>
        <w:t>Phyladelphia; Saunders Elsevier, 2007. p 572 ISBN 978-1-4160-3122-2</w:t>
      </w:r>
    </w:p>
    <w:p w:rsidR="003C6709" w:rsidRDefault="003C6709" w:rsidP="003C6709">
      <w:pPr>
        <w:spacing w:line="360" w:lineRule="auto"/>
        <w:jc w:val="both"/>
      </w:pPr>
      <w:r>
        <w:t xml:space="preserve">BUC, M. </w:t>
      </w:r>
      <w:r>
        <w:rPr>
          <w:i/>
        </w:rPr>
        <w:t xml:space="preserve">Imunológia. </w:t>
      </w:r>
      <w:r>
        <w:t>Bratislava: Veda, 2001, s. 464 ISBN 80-224-0667-8</w:t>
      </w:r>
    </w:p>
    <w:p w:rsidR="003C6709" w:rsidRDefault="003C6709" w:rsidP="003C6709">
      <w:pPr>
        <w:spacing w:line="360" w:lineRule="auto"/>
        <w:jc w:val="both"/>
      </w:pPr>
      <w:r>
        <w:t xml:space="preserve">BUC, m. </w:t>
      </w:r>
      <w:r>
        <w:rPr>
          <w:i/>
        </w:rPr>
        <w:t xml:space="preserve">Základná a klinická imunológia, </w:t>
      </w:r>
      <w:r>
        <w:t>Bratislava: Univerzita Komenského v Bratislave, 2009, s. 608 ISBN 978-80-223-2579-0</w:t>
      </w:r>
    </w:p>
    <w:p w:rsidR="003C6709" w:rsidRDefault="003C6709" w:rsidP="003C6709">
      <w:pPr>
        <w:spacing w:line="360" w:lineRule="auto"/>
        <w:jc w:val="both"/>
      </w:pPr>
      <w:r>
        <w:t xml:space="preserve">CWIERTKA, K. akol. </w:t>
      </w:r>
      <w:r>
        <w:rPr>
          <w:i/>
        </w:rPr>
        <w:t>Terapeutické monoklonální protilátky v onkológií</w:t>
      </w:r>
      <w:r>
        <w:t>, V klinická farmakológie</w:t>
      </w:r>
    </w:p>
    <w:p w:rsidR="003C6709" w:rsidRDefault="003C6709" w:rsidP="003C6709">
      <w:pPr>
        <w:spacing w:line="360" w:lineRule="auto"/>
        <w:jc w:val="both"/>
      </w:pPr>
      <w:r>
        <w:t>HOŘEJŠÍ, V. – BART</w:t>
      </w:r>
      <w:r w:rsidRPr="003C6709">
        <w:rPr>
          <w:rFonts w:cs="Calibri"/>
        </w:rPr>
        <w:t>Ů</w:t>
      </w:r>
      <w:r>
        <w:t xml:space="preserve">ŇKOVÁ, J. </w:t>
      </w:r>
      <w:r>
        <w:rPr>
          <w:i/>
        </w:rPr>
        <w:t xml:space="preserve">Základy imunológie, </w:t>
      </w:r>
      <w:r>
        <w:t>4. vyd. Praha: Triton, 2009, S. 316, ISBN 978-80-7389-280-9</w:t>
      </w:r>
    </w:p>
    <w:p w:rsidR="003C6709" w:rsidRDefault="003C6709" w:rsidP="003C6709">
      <w:pPr>
        <w:spacing w:line="360" w:lineRule="auto"/>
        <w:jc w:val="both"/>
      </w:pPr>
      <w:r>
        <w:t xml:space="preserve">MADRIAK, J. </w:t>
      </w:r>
      <w:r>
        <w:rPr>
          <w:i/>
        </w:rPr>
        <w:t xml:space="preserve">Cielená liečba v onkológii, </w:t>
      </w:r>
      <w:r>
        <w:t>V klinická farmakológie, 2008</w:t>
      </w:r>
    </w:p>
    <w:p w:rsidR="003C6709" w:rsidRDefault="003C6709" w:rsidP="003C6709">
      <w:pPr>
        <w:spacing w:line="360" w:lineRule="auto"/>
        <w:jc w:val="both"/>
      </w:pPr>
      <w:r>
        <w:t>MARTINEČKOVÁ, M. Imunita – čo by sme malo o nej vedieť. V Praktické lekárnictvo, 2011</w:t>
      </w:r>
    </w:p>
    <w:p w:rsidR="003C6709" w:rsidRDefault="003C6709" w:rsidP="003C6709">
      <w:pPr>
        <w:spacing w:line="360" w:lineRule="auto"/>
        <w:jc w:val="both"/>
      </w:pPr>
      <w:r>
        <w:t xml:space="preserve">PRUŽINEC, P. – SCHVALBOVÁ, M. </w:t>
      </w:r>
      <w:r>
        <w:rPr>
          <w:i/>
        </w:rPr>
        <w:t>Intravenózne imunoglobulíny v klinickej praxi</w:t>
      </w:r>
      <w:r>
        <w:t>, Bratislava: Bonus, 2007 s. 126 ISBN 978-80-968497-9-2</w:t>
      </w:r>
    </w:p>
    <w:p w:rsidR="003C6709" w:rsidRDefault="003C6709" w:rsidP="003C6709">
      <w:pPr>
        <w:spacing w:line="360" w:lineRule="auto"/>
        <w:jc w:val="both"/>
      </w:pPr>
      <w:r>
        <w:t xml:space="preserve">SLÍVA, J. – VOTAVA, M. </w:t>
      </w:r>
      <w:r>
        <w:rPr>
          <w:i/>
        </w:rPr>
        <w:t>Farmakologie.</w:t>
      </w:r>
      <w:r>
        <w:t xml:space="preserve"> Praha: Triton, 2011. s 402 ISBN 978-80-7387-500-8</w:t>
      </w:r>
    </w:p>
    <w:p w:rsidR="003C6709" w:rsidRDefault="003C6709" w:rsidP="003C6709">
      <w:pPr>
        <w:spacing w:line="360" w:lineRule="auto"/>
        <w:jc w:val="both"/>
      </w:pPr>
    </w:p>
    <w:p w:rsidR="003C6709" w:rsidRDefault="003C6709" w:rsidP="003C6709">
      <w:pPr>
        <w:spacing w:line="360" w:lineRule="auto"/>
        <w:jc w:val="both"/>
      </w:pPr>
      <w:r>
        <w:t>Celá použitá literatúra bola stiahnutá z internetového zdroja:</w:t>
      </w:r>
    </w:p>
    <w:p w:rsidR="003C6709" w:rsidRDefault="006379E9" w:rsidP="003C6709">
      <w:pPr>
        <w:spacing w:line="360" w:lineRule="auto"/>
        <w:jc w:val="both"/>
      </w:pPr>
      <w:hyperlink r:id="rId10" w:history="1">
        <w:r w:rsidRPr="00690C3B">
          <w:rPr>
            <w:rStyle w:val="Hypertextovodkaz"/>
          </w:rPr>
          <w:t>https://uloz.to/</w:t>
        </w:r>
      </w:hyperlink>
      <w:r>
        <w:t xml:space="preserve"> dostupné na internete</w:t>
      </w:r>
    </w:p>
    <w:p w:rsidR="00382CAA" w:rsidRDefault="00382CAA" w:rsidP="003C6709">
      <w:pPr>
        <w:spacing w:line="360" w:lineRule="auto"/>
        <w:jc w:val="both"/>
      </w:pPr>
      <w:hyperlink r:id="rId11" w:history="1">
        <w:r w:rsidRPr="00690C3B">
          <w:rPr>
            <w:rStyle w:val="Hypertextovodkaz"/>
          </w:rPr>
          <w:t>https://ulozto.cz/</w:t>
        </w:r>
      </w:hyperlink>
      <w:r>
        <w:t xml:space="preserve"> dostupné na internete</w:t>
      </w:r>
    </w:p>
    <w:p w:rsidR="00382CAA" w:rsidRDefault="00382CAA" w:rsidP="003C6709">
      <w:pPr>
        <w:spacing w:line="360" w:lineRule="auto"/>
        <w:jc w:val="both"/>
      </w:pPr>
      <w:hyperlink r:id="rId12" w:history="1">
        <w:r w:rsidRPr="00690C3B">
          <w:rPr>
            <w:rStyle w:val="Hypertextovodkaz"/>
          </w:rPr>
          <w:t>http://www.1000knih.sk/obchod/e-knihy-zadarmo-free-e-books/skripta-ucebnice</w:t>
        </w:r>
      </w:hyperlink>
      <w:r>
        <w:t xml:space="preserve"> dostupné na internete</w:t>
      </w:r>
    </w:p>
    <w:p w:rsidR="00382CAA" w:rsidRDefault="00382CAA" w:rsidP="003C6709">
      <w:pPr>
        <w:spacing w:line="360" w:lineRule="auto"/>
        <w:jc w:val="both"/>
      </w:pPr>
      <w:hyperlink r:id="rId13" w:history="1">
        <w:r w:rsidRPr="00690C3B">
          <w:rPr>
            <w:rStyle w:val="Hypertextovodkaz"/>
          </w:rPr>
          <w:t>https://www.unilabs.sk/na-stiahnutie</w:t>
        </w:r>
      </w:hyperlink>
      <w:r>
        <w:t xml:space="preserve"> dostupné na internete</w:t>
      </w:r>
    </w:p>
    <w:p w:rsidR="00382CAA" w:rsidRDefault="00382CAA" w:rsidP="003C6709">
      <w:pPr>
        <w:spacing w:line="360" w:lineRule="auto"/>
        <w:jc w:val="both"/>
      </w:pPr>
      <w:hyperlink r:id="rId14" w:history="1">
        <w:r w:rsidRPr="00690C3B">
          <w:rPr>
            <w:rStyle w:val="Hypertextovodkaz"/>
          </w:rPr>
          <w:t>https://fns.uniba.sk/skriptanakfg/</w:t>
        </w:r>
      </w:hyperlink>
      <w:r>
        <w:t xml:space="preserve"> dostupné na internete</w:t>
      </w:r>
    </w:p>
    <w:p w:rsidR="00382CAA" w:rsidRPr="001A62B8" w:rsidRDefault="00805432" w:rsidP="003C6709">
      <w:pPr>
        <w:spacing w:line="360" w:lineRule="auto"/>
        <w:jc w:val="both"/>
      </w:pPr>
      <w:hyperlink r:id="rId15" w:history="1">
        <w:r w:rsidRPr="00690C3B">
          <w:rPr>
            <w:rStyle w:val="Hypertextovodkaz"/>
          </w:rPr>
          <w:t>http://lf1.cz/materialy-ke-stazeni/</w:t>
        </w:r>
      </w:hyperlink>
      <w:r>
        <w:t xml:space="preserve"> dostupné na internete</w:t>
      </w:r>
      <w:bookmarkStart w:id="18" w:name="_GoBack"/>
      <w:bookmarkEnd w:id="18"/>
    </w:p>
    <w:p w:rsidR="003C6709" w:rsidRPr="003C6709" w:rsidRDefault="003C6709" w:rsidP="003C6709"/>
    <w:sectPr w:rsidR="003C6709" w:rsidRPr="003C6709" w:rsidSect="00FC0A86">
      <w:footerReference w:type="default" r:id="rId16"/>
      <w:pgSz w:w="11906" w:h="16838"/>
      <w:pgMar w:top="1418" w:right="1134" w:bottom="1418" w:left="1985"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04994" w:rsidRDefault="00204994" w:rsidP="00104F68">
      <w:r>
        <w:separator/>
      </w:r>
    </w:p>
  </w:endnote>
  <w:endnote w:type="continuationSeparator" w:id="0">
    <w:p w:rsidR="00204994" w:rsidRDefault="00204994" w:rsidP="00104F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 w:name="Calibri">
    <w:panose1 w:val="020F0502020204030204"/>
    <w:charset w:val="EE"/>
    <w:family w:val="swiss"/>
    <w:pitch w:val="variable"/>
    <w:sig w:usb0="E4002E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0248" w:rsidRPr="001363AF" w:rsidRDefault="005A0248">
    <w:pPr>
      <w:pStyle w:val="Zpat"/>
      <w:jc w:val="right"/>
    </w:pPr>
    <w:r w:rsidRPr="001363AF">
      <w:fldChar w:fldCharType="begin"/>
    </w:r>
    <w:r w:rsidRPr="001363AF">
      <w:instrText>PAGE   \* MERGEFORMAT</w:instrText>
    </w:r>
    <w:r w:rsidRPr="001363AF">
      <w:fldChar w:fldCharType="separate"/>
    </w:r>
    <w:r w:rsidR="00805432">
      <w:rPr>
        <w:noProof/>
      </w:rPr>
      <w:t>18</w:t>
    </w:r>
    <w:r w:rsidRPr="001363AF">
      <w:fldChar w:fldCharType="end"/>
    </w:r>
  </w:p>
  <w:p w:rsidR="005A0248" w:rsidRDefault="005A0248">
    <w:pPr>
      <w:pStyle w:val="Zpa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04994" w:rsidRDefault="00204994" w:rsidP="00104F68">
      <w:r>
        <w:separator/>
      </w:r>
    </w:p>
  </w:footnote>
  <w:footnote w:type="continuationSeparator" w:id="0">
    <w:p w:rsidR="00204994" w:rsidRDefault="00204994" w:rsidP="00104F68">
      <w:r>
        <w:continuationSeparator/>
      </w:r>
    </w:p>
  </w:footnote>
  <w:footnote w:id="1">
    <w:p w:rsidR="006379E9" w:rsidRDefault="006379E9">
      <w:pPr>
        <w:pStyle w:val="Textpoznpodarou"/>
      </w:pPr>
      <w:r>
        <w:rPr>
          <w:rStyle w:val="Znakapoznpodarou"/>
        </w:rPr>
        <w:footnoteRef/>
      </w:r>
      <w:r>
        <w:t xml:space="preserve"> HAMA – human anti-mouse antibodies</w:t>
      </w:r>
    </w:p>
  </w:footnote>
  <w:footnote w:id="2">
    <w:p w:rsidR="005A0248" w:rsidRDefault="005A0248">
      <w:pPr>
        <w:pStyle w:val="Textpoznpodarou"/>
      </w:pPr>
      <w:r>
        <w:rPr>
          <w:rStyle w:val="Znakapoznpodarou"/>
        </w:rPr>
        <w:footnoteRef/>
      </w:r>
      <w:r>
        <w:t xml:space="preserve"> CD52 –povrchové antigény</w:t>
      </w:r>
    </w:p>
  </w:footnote>
  <w:footnote w:id="3">
    <w:p w:rsidR="005A0248" w:rsidRDefault="005A0248">
      <w:pPr>
        <w:pStyle w:val="Textpoznpodarou"/>
      </w:pPr>
      <w:r>
        <w:rPr>
          <w:rStyle w:val="Znakapoznpodarou"/>
        </w:rPr>
        <w:footnoteRef/>
      </w:r>
      <w:r>
        <w:t xml:space="preserve"> VEGF – vasoendoteliálny rastový faktor</w:t>
      </w:r>
    </w:p>
  </w:footnote>
  <w:footnote w:id="4">
    <w:p w:rsidR="005A0248" w:rsidRDefault="005A0248">
      <w:pPr>
        <w:pStyle w:val="Textpoznpodarou"/>
      </w:pPr>
      <w:r>
        <w:rPr>
          <w:rStyle w:val="Znakapoznpodarou"/>
        </w:rPr>
        <w:footnoteRef/>
      </w:r>
      <w:r>
        <w:t xml:space="preserve"> EGFr – receptory pre epidermálny rastový faktor</w:t>
      </w:r>
    </w:p>
  </w:footnote>
  <w:footnote w:id="5">
    <w:p w:rsidR="005A0248" w:rsidRDefault="005A0248">
      <w:pPr>
        <w:pStyle w:val="Textpoznpodarou"/>
      </w:pPr>
      <w:r>
        <w:rPr>
          <w:rStyle w:val="Znakapoznpodarou"/>
        </w:rPr>
        <w:footnoteRef/>
      </w:r>
      <w:r>
        <w:t xml:space="preserve"> CD30 – povrchové antigény</w:t>
      </w:r>
    </w:p>
  </w:footnote>
  <w:footnote w:id="6">
    <w:p w:rsidR="005A0248" w:rsidRDefault="005A0248">
      <w:pPr>
        <w:pStyle w:val="Textpoznpodarou"/>
      </w:pPr>
      <w:r>
        <w:rPr>
          <w:rStyle w:val="Znakapoznpodarou"/>
        </w:rPr>
        <w:footnoteRef/>
      </w:r>
      <w:r>
        <w:t xml:space="preserve"> CD20 – povrchové antigény</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D0384"/>
    <w:multiLevelType w:val="hybridMultilevel"/>
    <w:tmpl w:val="EB84AA34"/>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
    <w:nsid w:val="119F2673"/>
    <w:multiLevelType w:val="hybridMultilevel"/>
    <w:tmpl w:val="A5C0617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
    <w:nsid w:val="120E6282"/>
    <w:multiLevelType w:val="hybridMultilevel"/>
    <w:tmpl w:val="C700ECF4"/>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
    <w:nsid w:val="13EC7735"/>
    <w:multiLevelType w:val="multilevel"/>
    <w:tmpl w:val="041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51C146A"/>
    <w:multiLevelType w:val="hybridMultilevel"/>
    <w:tmpl w:val="7EB43842"/>
    <w:lvl w:ilvl="0" w:tplc="041B000F">
      <w:start w:val="1"/>
      <w:numFmt w:val="decimal"/>
      <w:lvlText w:val="%1."/>
      <w:lvlJc w:val="left"/>
      <w:pPr>
        <w:ind w:left="1485" w:hanging="360"/>
      </w:pPr>
    </w:lvl>
    <w:lvl w:ilvl="1" w:tplc="041B0019" w:tentative="1">
      <w:start w:val="1"/>
      <w:numFmt w:val="lowerLetter"/>
      <w:lvlText w:val="%2."/>
      <w:lvlJc w:val="left"/>
      <w:pPr>
        <w:ind w:left="2205" w:hanging="360"/>
      </w:pPr>
    </w:lvl>
    <w:lvl w:ilvl="2" w:tplc="041B001B" w:tentative="1">
      <w:start w:val="1"/>
      <w:numFmt w:val="lowerRoman"/>
      <w:lvlText w:val="%3."/>
      <w:lvlJc w:val="right"/>
      <w:pPr>
        <w:ind w:left="2925" w:hanging="180"/>
      </w:pPr>
    </w:lvl>
    <w:lvl w:ilvl="3" w:tplc="041B000F" w:tentative="1">
      <w:start w:val="1"/>
      <w:numFmt w:val="decimal"/>
      <w:lvlText w:val="%4."/>
      <w:lvlJc w:val="left"/>
      <w:pPr>
        <w:ind w:left="3645" w:hanging="360"/>
      </w:pPr>
    </w:lvl>
    <w:lvl w:ilvl="4" w:tplc="041B0019" w:tentative="1">
      <w:start w:val="1"/>
      <w:numFmt w:val="lowerLetter"/>
      <w:lvlText w:val="%5."/>
      <w:lvlJc w:val="left"/>
      <w:pPr>
        <w:ind w:left="4365" w:hanging="360"/>
      </w:pPr>
    </w:lvl>
    <w:lvl w:ilvl="5" w:tplc="041B001B" w:tentative="1">
      <w:start w:val="1"/>
      <w:numFmt w:val="lowerRoman"/>
      <w:lvlText w:val="%6."/>
      <w:lvlJc w:val="right"/>
      <w:pPr>
        <w:ind w:left="5085" w:hanging="180"/>
      </w:pPr>
    </w:lvl>
    <w:lvl w:ilvl="6" w:tplc="041B000F" w:tentative="1">
      <w:start w:val="1"/>
      <w:numFmt w:val="decimal"/>
      <w:lvlText w:val="%7."/>
      <w:lvlJc w:val="left"/>
      <w:pPr>
        <w:ind w:left="5805" w:hanging="360"/>
      </w:pPr>
    </w:lvl>
    <w:lvl w:ilvl="7" w:tplc="041B0019" w:tentative="1">
      <w:start w:val="1"/>
      <w:numFmt w:val="lowerLetter"/>
      <w:lvlText w:val="%8."/>
      <w:lvlJc w:val="left"/>
      <w:pPr>
        <w:ind w:left="6525" w:hanging="360"/>
      </w:pPr>
    </w:lvl>
    <w:lvl w:ilvl="8" w:tplc="041B001B" w:tentative="1">
      <w:start w:val="1"/>
      <w:numFmt w:val="lowerRoman"/>
      <w:lvlText w:val="%9."/>
      <w:lvlJc w:val="right"/>
      <w:pPr>
        <w:ind w:left="7245" w:hanging="180"/>
      </w:pPr>
    </w:lvl>
  </w:abstractNum>
  <w:abstractNum w:abstractNumId="5">
    <w:nsid w:val="1A404B27"/>
    <w:multiLevelType w:val="hybridMultilevel"/>
    <w:tmpl w:val="D2D23BEC"/>
    <w:lvl w:ilvl="0" w:tplc="041B000F">
      <w:start w:val="1"/>
      <w:numFmt w:val="decimal"/>
      <w:lvlText w:val="%1."/>
      <w:lvlJc w:val="left"/>
      <w:pPr>
        <w:ind w:left="1485" w:hanging="360"/>
      </w:pPr>
    </w:lvl>
    <w:lvl w:ilvl="1" w:tplc="041B0019" w:tentative="1">
      <w:start w:val="1"/>
      <w:numFmt w:val="lowerLetter"/>
      <w:lvlText w:val="%2."/>
      <w:lvlJc w:val="left"/>
      <w:pPr>
        <w:ind w:left="2205" w:hanging="360"/>
      </w:pPr>
    </w:lvl>
    <w:lvl w:ilvl="2" w:tplc="041B001B" w:tentative="1">
      <w:start w:val="1"/>
      <w:numFmt w:val="lowerRoman"/>
      <w:lvlText w:val="%3."/>
      <w:lvlJc w:val="right"/>
      <w:pPr>
        <w:ind w:left="2925" w:hanging="180"/>
      </w:pPr>
    </w:lvl>
    <w:lvl w:ilvl="3" w:tplc="041B000F" w:tentative="1">
      <w:start w:val="1"/>
      <w:numFmt w:val="decimal"/>
      <w:lvlText w:val="%4."/>
      <w:lvlJc w:val="left"/>
      <w:pPr>
        <w:ind w:left="3645" w:hanging="360"/>
      </w:pPr>
    </w:lvl>
    <w:lvl w:ilvl="4" w:tplc="041B0019" w:tentative="1">
      <w:start w:val="1"/>
      <w:numFmt w:val="lowerLetter"/>
      <w:lvlText w:val="%5."/>
      <w:lvlJc w:val="left"/>
      <w:pPr>
        <w:ind w:left="4365" w:hanging="360"/>
      </w:pPr>
    </w:lvl>
    <w:lvl w:ilvl="5" w:tplc="041B001B" w:tentative="1">
      <w:start w:val="1"/>
      <w:numFmt w:val="lowerRoman"/>
      <w:lvlText w:val="%6."/>
      <w:lvlJc w:val="right"/>
      <w:pPr>
        <w:ind w:left="5085" w:hanging="180"/>
      </w:pPr>
    </w:lvl>
    <w:lvl w:ilvl="6" w:tplc="041B000F" w:tentative="1">
      <w:start w:val="1"/>
      <w:numFmt w:val="decimal"/>
      <w:lvlText w:val="%7."/>
      <w:lvlJc w:val="left"/>
      <w:pPr>
        <w:ind w:left="5805" w:hanging="360"/>
      </w:pPr>
    </w:lvl>
    <w:lvl w:ilvl="7" w:tplc="041B0019" w:tentative="1">
      <w:start w:val="1"/>
      <w:numFmt w:val="lowerLetter"/>
      <w:lvlText w:val="%8."/>
      <w:lvlJc w:val="left"/>
      <w:pPr>
        <w:ind w:left="6525" w:hanging="360"/>
      </w:pPr>
    </w:lvl>
    <w:lvl w:ilvl="8" w:tplc="041B001B" w:tentative="1">
      <w:start w:val="1"/>
      <w:numFmt w:val="lowerRoman"/>
      <w:lvlText w:val="%9."/>
      <w:lvlJc w:val="right"/>
      <w:pPr>
        <w:ind w:left="7245" w:hanging="180"/>
      </w:pPr>
    </w:lvl>
  </w:abstractNum>
  <w:abstractNum w:abstractNumId="6">
    <w:nsid w:val="1ABA77FD"/>
    <w:multiLevelType w:val="multilevel"/>
    <w:tmpl w:val="041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04D5C0E"/>
    <w:multiLevelType w:val="multilevel"/>
    <w:tmpl w:val="041B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27507402"/>
    <w:multiLevelType w:val="multilevel"/>
    <w:tmpl w:val="6C92ACAA"/>
    <w:lvl w:ilvl="0">
      <w:start w:val="2"/>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
    <w:nsid w:val="3E370FB6"/>
    <w:multiLevelType w:val="multilevel"/>
    <w:tmpl w:val="50C0338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0">
    <w:nsid w:val="470E2614"/>
    <w:multiLevelType w:val="hybridMultilevel"/>
    <w:tmpl w:val="4DA658E4"/>
    <w:lvl w:ilvl="0" w:tplc="041B0019">
      <w:start w:val="1"/>
      <w:numFmt w:val="lowerLetter"/>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1">
    <w:nsid w:val="4800694B"/>
    <w:multiLevelType w:val="hybridMultilevel"/>
    <w:tmpl w:val="73121BB2"/>
    <w:lvl w:ilvl="0" w:tplc="041B000F">
      <w:start w:val="1"/>
      <w:numFmt w:val="decimal"/>
      <w:lvlText w:val="%1."/>
      <w:lvlJc w:val="left"/>
      <w:pPr>
        <w:ind w:left="1428" w:hanging="360"/>
      </w:pPr>
    </w:lvl>
    <w:lvl w:ilvl="1" w:tplc="041B0019" w:tentative="1">
      <w:start w:val="1"/>
      <w:numFmt w:val="lowerLetter"/>
      <w:lvlText w:val="%2."/>
      <w:lvlJc w:val="left"/>
      <w:pPr>
        <w:ind w:left="2148" w:hanging="360"/>
      </w:pPr>
    </w:lvl>
    <w:lvl w:ilvl="2" w:tplc="041B001B" w:tentative="1">
      <w:start w:val="1"/>
      <w:numFmt w:val="lowerRoman"/>
      <w:lvlText w:val="%3."/>
      <w:lvlJc w:val="right"/>
      <w:pPr>
        <w:ind w:left="2868" w:hanging="180"/>
      </w:pPr>
    </w:lvl>
    <w:lvl w:ilvl="3" w:tplc="041B000F" w:tentative="1">
      <w:start w:val="1"/>
      <w:numFmt w:val="decimal"/>
      <w:lvlText w:val="%4."/>
      <w:lvlJc w:val="left"/>
      <w:pPr>
        <w:ind w:left="3588" w:hanging="360"/>
      </w:pPr>
    </w:lvl>
    <w:lvl w:ilvl="4" w:tplc="041B0019" w:tentative="1">
      <w:start w:val="1"/>
      <w:numFmt w:val="lowerLetter"/>
      <w:lvlText w:val="%5."/>
      <w:lvlJc w:val="left"/>
      <w:pPr>
        <w:ind w:left="4308" w:hanging="360"/>
      </w:pPr>
    </w:lvl>
    <w:lvl w:ilvl="5" w:tplc="041B001B" w:tentative="1">
      <w:start w:val="1"/>
      <w:numFmt w:val="lowerRoman"/>
      <w:lvlText w:val="%6."/>
      <w:lvlJc w:val="right"/>
      <w:pPr>
        <w:ind w:left="5028" w:hanging="180"/>
      </w:pPr>
    </w:lvl>
    <w:lvl w:ilvl="6" w:tplc="041B000F" w:tentative="1">
      <w:start w:val="1"/>
      <w:numFmt w:val="decimal"/>
      <w:lvlText w:val="%7."/>
      <w:lvlJc w:val="left"/>
      <w:pPr>
        <w:ind w:left="5748" w:hanging="360"/>
      </w:pPr>
    </w:lvl>
    <w:lvl w:ilvl="7" w:tplc="041B0019" w:tentative="1">
      <w:start w:val="1"/>
      <w:numFmt w:val="lowerLetter"/>
      <w:lvlText w:val="%8."/>
      <w:lvlJc w:val="left"/>
      <w:pPr>
        <w:ind w:left="6468" w:hanging="360"/>
      </w:pPr>
    </w:lvl>
    <w:lvl w:ilvl="8" w:tplc="041B001B" w:tentative="1">
      <w:start w:val="1"/>
      <w:numFmt w:val="lowerRoman"/>
      <w:lvlText w:val="%9."/>
      <w:lvlJc w:val="right"/>
      <w:pPr>
        <w:ind w:left="7188" w:hanging="180"/>
      </w:pPr>
    </w:lvl>
  </w:abstractNum>
  <w:abstractNum w:abstractNumId="12">
    <w:nsid w:val="524858CC"/>
    <w:multiLevelType w:val="hybridMultilevel"/>
    <w:tmpl w:val="B128F4E0"/>
    <w:lvl w:ilvl="0" w:tplc="041B000F">
      <w:start w:val="1"/>
      <w:numFmt w:val="decimal"/>
      <w:lvlText w:val="%1."/>
      <w:lvlJc w:val="left"/>
      <w:pPr>
        <w:ind w:left="1428" w:hanging="360"/>
      </w:pPr>
    </w:lvl>
    <w:lvl w:ilvl="1" w:tplc="041B0019" w:tentative="1">
      <w:start w:val="1"/>
      <w:numFmt w:val="lowerLetter"/>
      <w:lvlText w:val="%2."/>
      <w:lvlJc w:val="left"/>
      <w:pPr>
        <w:ind w:left="2148" w:hanging="360"/>
      </w:pPr>
    </w:lvl>
    <w:lvl w:ilvl="2" w:tplc="041B001B" w:tentative="1">
      <w:start w:val="1"/>
      <w:numFmt w:val="lowerRoman"/>
      <w:lvlText w:val="%3."/>
      <w:lvlJc w:val="right"/>
      <w:pPr>
        <w:ind w:left="2868" w:hanging="180"/>
      </w:pPr>
    </w:lvl>
    <w:lvl w:ilvl="3" w:tplc="041B000F" w:tentative="1">
      <w:start w:val="1"/>
      <w:numFmt w:val="decimal"/>
      <w:lvlText w:val="%4."/>
      <w:lvlJc w:val="left"/>
      <w:pPr>
        <w:ind w:left="3588" w:hanging="360"/>
      </w:pPr>
    </w:lvl>
    <w:lvl w:ilvl="4" w:tplc="041B0019" w:tentative="1">
      <w:start w:val="1"/>
      <w:numFmt w:val="lowerLetter"/>
      <w:lvlText w:val="%5."/>
      <w:lvlJc w:val="left"/>
      <w:pPr>
        <w:ind w:left="4308" w:hanging="360"/>
      </w:pPr>
    </w:lvl>
    <w:lvl w:ilvl="5" w:tplc="041B001B" w:tentative="1">
      <w:start w:val="1"/>
      <w:numFmt w:val="lowerRoman"/>
      <w:lvlText w:val="%6."/>
      <w:lvlJc w:val="right"/>
      <w:pPr>
        <w:ind w:left="5028" w:hanging="180"/>
      </w:pPr>
    </w:lvl>
    <w:lvl w:ilvl="6" w:tplc="041B000F" w:tentative="1">
      <w:start w:val="1"/>
      <w:numFmt w:val="decimal"/>
      <w:lvlText w:val="%7."/>
      <w:lvlJc w:val="left"/>
      <w:pPr>
        <w:ind w:left="5748" w:hanging="360"/>
      </w:pPr>
    </w:lvl>
    <w:lvl w:ilvl="7" w:tplc="041B0019" w:tentative="1">
      <w:start w:val="1"/>
      <w:numFmt w:val="lowerLetter"/>
      <w:lvlText w:val="%8."/>
      <w:lvlJc w:val="left"/>
      <w:pPr>
        <w:ind w:left="6468" w:hanging="360"/>
      </w:pPr>
    </w:lvl>
    <w:lvl w:ilvl="8" w:tplc="041B001B" w:tentative="1">
      <w:start w:val="1"/>
      <w:numFmt w:val="lowerRoman"/>
      <w:lvlText w:val="%9."/>
      <w:lvlJc w:val="right"/>
      <w:pPr>
        <w:ind w:left="7188" w:hanging="180"/>
      </w:pPr>
    </w:lvl>
  </w:abstractNum>
  <w:abstractNum w:abstractNumId="13">
    <w:nsid w:val="61D45F01"/>
    <w:multiLevelType w:val="hybridMultilevel"/>
    <w:tmpl w:val="FB4667D0"/>
    <w:lvl w:ilvl="0" w:tplc="041B000F">
      <w:start w:val="1"/>
      <w:numFmt w:val="decimal"/>
      <w:lvlText w:val="%1."/>
      <w:lvlJc w:val="left"/>
      <w:pPr>
        <w:ind w:left="1428" w:hanging="360"/>
      </w:pPr>
    </w:lvl>
    <w:lvl w:ilvl="1" w:tplc="041B0019" w:tentative="1">
      <w:start w:val="1"/>
      <w:numFmt w:val="lowerLetter"/>
      <w:lvlText w:val="%2."/>
      <w:lvlJc w:val="left"/>
      <w:pPr>
        <w:ind w:left="2148" w:hanging="360"/>
      </w:pPr>
    </w:lvl>
    <w:lvl w:ilvl="2" w:tplc="041B001B" w:tentative="1">
      <w:start w:val="1"/>
      <w:numFmt w:val="lowerRoman"/>
      <w:lvlText w:val="%3."/>
      <w:lvlJc w:val="right"/>
      <w:pPr>
        <w:ind w:left="2868" w:hanging="180"/>
      </w:pPr>
    </w:lvl>
    <w:lvl w:ilvl="3" w:tplc="041B000F" w:tentative="1">
      <w:start w:val="1"/>
      <w:numFmt w:val="decimal"/>
      <w:lvlText w:val="%4."/>
      <w:lvlJc w:val="left"/>
      <w:pPr>
        <w:ind w:left="3588" w:hanging="360"/>
      </w:pPr>
    </w:lvl>
    <w:lvl w:ilvl="4" w:tplc="041B0019" w:tentative="1">
      <w:start w:val="1"/>
      <w:numFmt w:val="lowerLetter"/>
      <w:lvlText w:val="%5."/>
      <w:lvlJc w:val="left"/>
      <w:pPr>
        <w:ind w:left="4308" w:hanging="360"/>
      </w:pPr>
    </w:lvl>
    <w:lvl w:ilvl="5" w:tplc="041B001B" w:tentative="1">
      <w:start w:val="1"/>
      <w:numFmt w:val="lowerRoman"/>
      <w:lvlText w:val="%6."/>
      <w:lvlJc w:val="right"/>
      <w:pPr>
        <w:ind w:left="5028" w:hanging="180"/>
      </w:pPr>
    </w:lvl>
    <w:lvl w:ilvl="6" w:tplc="041B000F" w:tentative="1">
      <w:start w:val="1"/>
      <w:numFmt w:val="decimal"/>
      <w:lvlText w:val="%7."/>
      <w:lvlJc w:val="left"/>
      <w:pPr>
        <w:ind w:left="5748" w:hanging="360"/>
      </w:pPr>
    </w:lvl>
    <w:lvl w:ilvl="7" w:tplc="041B0019" w:tentative="1">
      <w:start w:val="1"/>
      <w:numFmt w:val="lowerLetter"/>
      <w:lvlText w:val="%8."/>
      <w:lvlJc w:val="left"/>
      <w:pPr>
        <w:ind w:left="6468" w:hanging="360"/>
      </w:pPr>
    </w:lvl>
    <w:lvl w:ilvl="8" w:tplc="041B001B" w:tentative="1">
      <w:start w:val="1"/>
      <w:numFmt w:val="lowerRoman"/>
      <w:lvlText w:val="%9."/>
      <w:lvlJc w:val="right"/>
      <w:pPr>
        <w:ind w:left="7188" w:hanging="180"/>
      </w:pPr>
    </w:lvl>
  </w:abstractNum>
  <w:abstractNum w:abstractNumId="14">
    <w:nsid w:val="68EC744D"/>
    <w:multiLevelType w:val="hybridMultilevel"/>
    <w:tmpl w:val="DCBA49DA"/>
    <w:lvl w:ilvl="0" w:tplc="041B0015">
      <w:start w:val="1"/>
      <w:numFmt w:val="upperLetter"/>
      <w:lvlText w:val="%1."/>
      <w:lvlJc w:val="left"/>
      <w:pPr>
        <w:ind w:left="1440" w:hanging="360"/>
      </w:pPr>
    </w:lvl>
    <w:lvl w:ilvl="1" w:tplc="041B0019" w:tentative="1">
      <w:start w:val="1"/>
      <w:numFmt w:val="lowerLetter"/>
      <w:lvlText w:val="%2."/>
      <w:lvlJc w:val="left"/>
      <w:pPr>
        <w:ind w:left="2160" w:hanging="360"/>
      </w:pPr>
    </w:lvl>
    <w:lvl w:ilvl="2" w:tplc="041B001B" w:tentative="1">
      <w:start w:val="1"/>
      <w:numFmt w:val="lowerRoman"/>
      <w:lvlText w:val="%3."/>
      <w:lvlJc w:val="right"/>
      <w:pPr>
        <w:ind w:left="2880" w:hanging="180"/>
      </w:pPr>
    </w:lvl>
    <w:lvl w:ilvl="3" w:tplc="041B000F" w:tentative="1">
      <w:start w:val="1"/>
      <w:numFmt w:val="decimal"/>
      <w:lvlText w:val="%4."/>
      <w:lvlJc w:val="left"/>
      <w:pPr>
        <w:ind w:left="3600" w:hanging="360"/>
      </w:pPr>
    </w:lvl>
    <w:lvl w:ilvl="4" w:tplc="041B0019" w:tentative="1">
      <w:start w:val="1"/>
      <w:numFmt w:val="lowerLetter"/>
      <w:lvlText w:val="%5."/>
      <w:lvlJc w:val="left"/>
      <w:pPr>
        <w:ind w:left="4320" w:hanging="360"/>
      </w:pPr>
    </w:lvl>
    <w:lvl w:ilvl="5" w:tplc="041B001B" w:tentative="1">
      <w:start w:val="1"/>
      <w:numFmt w:val="lowerRoman"/>
      <w:lvlText w:val="%6."/>
      <w:lvlJc w:val="right"/>
      <w:pPr>
        <w:ind w:left="5040" w:hanging="180"/>
      </w:pPr>
    </w:lvl>
    <w:lvl w:ilvl="6" w:tplc="041B000F" w:tentative="1">
      <w:start w:val="1"/>
      <w:numFmt w:val="decimal"/>
      <w:lvlText w:val="%7."/>
      <w:lvlJc w:val="left"/>
      <w:pPr>
        <w:ind w:left="5760" w:hanging="360"/>
      </w:pPr>
    </w:lvl>
    <w:lvl w:ilvl="7" w:tplc="041B0019" w:tentative="1">
      <w:start w:val="1"/>
      <w:numFmt w:val="lowerLetter"/>
      <w:lvlText w:val="%8."/>
      <w:lvlJc w:val="left"/>
      <w:pPr>
        <w:ind w:left="6480" w:hanging="360"/>
      </w:pPr>
    </w:lvl>
    <w:lvl w:ilvl="8" w:tplc="041B001B" w:tentative="1">
      <w:start w:val="1"/>
      <w:numFmt w:val="lowerRoman"/>
      <w:lvlText w:val="%9."/>
      <w:lvlJc w:val="right"/>
      <w:pPr>
        <w:ind w:left="7200" w:hanging="180"/>
      </w:pPr>
    </w:lvl>
  </w:abstractNum>
  <w:abstractNum w:abstractNumId="15">
    <w:nsid w:val="6BAF7819"/>
    <w:multiLevelType w:val="multilevel"/>
    <w:tmpl w:val="ED2671D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nsid w:val="6F3E7DF2"/>
    <w:multiLevelType w:val="hybridMultilevel"/>
    <w:tmpl w:val="8CFC1E34"/>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7">
    <w:nsid w:val="72C84374"/>
    <w:multiLevelType w:val="hybridMultilevel"/>
    <w:tmpl w:val="D8829382"/>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8">
    <w:nsid w:val="74745A53"/>
    <w:multiLevelType w:val="hybridMultilevel"/>
    <w:tmpl w:val="00341922"/>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9">
    <w:nsid w:val="7B124785"/>
    <w:multiLevelType w:val="hybridMultilevel"/>
    <w:tmpl w:val="F702C198"/>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num w:numId="1">
    <w:abstractNumId w:val="3"/>
  </w:num>
  <w:num w:numId="2">
    <w:abstractNumId w:val="2"/>
  </w:num>
  <w:num w:numId="3">
    <w:abstractNumId w:val="16"/>
  </w:num>
  <w:num w:numId="4">
    <w:abstractNumId w:val="19"/>
  </w:num>
  <w:num w:numId="5">
    <w:abstractNumId w:val="9"/>
  </w:num>
  <w:num w:numId="6">
    <w:abstractNumId w:val="7"/>
  </w:num>
  <w:num w:numId="7">
    <w:abstractNumId w:val="6"/>
  </w:num>
  <w:num w:numId="8">
    <w:abstractNumId w:val="15"/>
  </w:num>
  <w:num w:numId="9">
    <w:abstractNumId w:val="8"/>
  </w:num>
  <w:num w:numId="10">
    <w:abstractNumId w:val="10"/>
  </w:num>
  <w:num w:numId="11">
    <w:abstractNumId w:val="14"/>
  </w:num>
  <w:num w:numId="12">
    <w:abstractNumId w:val="4"/>
  </w:num>
  <w:num w:numId="13">
    <w:abstractNumId w:val="17"/>
  </w:num>
  <w:num w:numId="14">
    <w:abstractNumId w:val="5"/>
  </w:num>
  <w:num w:numId="15">
    <w:abstractNumId w:val="12"/>
  </w:num>
  <w:num w:numId="16">
    <w:abstractNumId w:val="11"/>
  </w:num>
  <w:num w:numId="17">
    <w:abstractNumId w:val="13"/>
  </w:num>
  <w:num w:numId="18">
    <w:abstractNumId w:val="18"/>
  </w:num>
  <w:num w:numId="19">
    <w:abstractNumId w:val="0"/>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2606"/>
    <w:rsid w:val="00011C7C"/>
    <w:rsid w:val="00016367"/>
    <w:rsid w:val="00016D2A"/>
    <w:rsid w:val="000410C3"/>
    <w:rsid w:val="00045072"/>
    <w:rsid w:val="00097E4F"/>
    <w:rsid w:val="000A0CDA"/>
    <w:rsid w:val="000B5CCA"/>
    <w:rsid w:val="000C3ED7"/>
    <w:rsid w:val="000C7B15"/>
    <w:rsid w:val="000D37C0"/>
    <w:rsid w:val="000D726F"/>
    <w:rsid w:val="000E1E26"/>
    <w:rsid w:val="000E6F55"/>
    <w:rsid w:val="000F4B36"/>
    <w:rsid w:val="00104F68"/>
    <w:rsid w:val="00126599"/>
    <w:rsid w:val="001363AF"/>
    <w:rsid w:val="00152C39"/>
    <w:rsid w:val="00170389"/>
    <w:rsid w:val="0017111E"/>
    <w:rsid w:val="0017305D"/>
    <w:rsid w:val="00176ED3"/>
    <w:rsid w:val="001B5213"/>
    <w:rsid w:val="001B66BB"/>
    <w:rsid w:val="001C5C98"/>
    <w:rsid w:val="001E2562"/>
    <w:rsid w:val="00201305"/>
    <w:rsid w:val="00204994"/>
    <w:rsid w:val="00212743"/>
    <w:rsid w:val="002178EE"/>
    <w:rsid w:val="00225867"/>
    <w:rsid w:val="00253FC6"/>
    <w:rsid w:val="0025457E"/>
    <w:rsid w:val="0027519F"/>
    <w:rsid w:val="00275212"/>
    <w:rsid w:val="002970FC"/>
    <w:rsid w:val="002A0687"/>
    <w:rsid w:val="002A3665"/>
    <w:rsid w:val="002A519B"/>
    <w:rsid w:val="002B6352"/>
    <w:rsid w:val="002B6659"/>
    <w:rsid w:val="002D0BC1"/>
    <w:rsid w:val="002D2A81"/>
    <w:rsid w:val="002E491D"/>
    <w:rsid w:val="002F1C9D"/>
    <w:rsid w:val="003104B5"/>
    <w:rsid w:val="003302E1"/>
    <w:rsid w:val="00340151"/>
    <w:rsid w:val="00346A5A"/>
    <w:rsid w:val="00347B74"/>
    <w:rsid w:val="003629F3"/>
    <w:rsid w:val="0036461F"/>
    <w:rsid w:val="00371183"/>
    <w:rsid w:val="00373B0D"/>
    <w:rsid w:val="0038154D"/>
    <w:rsid w:val="00382CAA"/>
    <w:rsid w:val="003C2534"/>
    <w:rsid w:val="003C57F9"/>
    <w:rsid w:val="003C6709"/>
    <w:rsid w:val="003E09DF"/>
    <w:rsid w:val="003F250F"/>
    <w:rsid w:val="004040A4"/>
    <w:rsid w:val="00423409"/>
    <w:rsid w:val="00426F58"/>
    <w:rsid w:val="00431BE2"/>
    <w:rsid w:val="00441B85"/>
    <w:rsid w:val="00442817"/>
    <w:rsid w:val="00446F27"/>
    <w:rsid w:val="0047463C"/>
    <w:rsid w:val="004821ED"/>
    <w:rsid w:val="00483AB4"/>
    <w:rsid w:val="0048457D"/>
    <w:rsid w:val="004A0BE3"/>
    <w:rsid w:val="004B2169"/>
    <w:rsid w:val="004B4457"/>
    <w:rsid w:val="004D5AC3"/>
    <w:rsid w:val="004D6578"/>
    <w:rsid w:val="005120A9"/>
    <w:rsid w:val="0052140E"/>
    <w:rsid w:val="0055337F"/>
    <w:rsid w:val="0056118B"/>
    <w:rsid w:val="0057200A"/>
    <w:rsid w:val="00573557"/>
    <w:rsid w:val="00575CCA"/>
    <w:rsid w:val="005857F6"/>
    <w:rsid w:val="005A0248"/>
    <w:rsid w:val="005A5948"/>
    <w:rsid w:val="005A6957"/>
    <w:rsid w:val="005B5B8F"/>
    <w:rsid w:val="005B7E7D"/>
    <w:rsid w:val="005D415C"/>
    <w:rsid w:val="005F0161"/>
    <w:rsid w:val="005F36CA"/>
    <w:rsid w:val="006034C6"/>
    <w:rsid w:val="006050A7"/>
    <w:rsid w:val="00611971"/>
    <w:rsid w:val="00614696"/>
    <w:rsid w:val="006174BF"/>
    <w:rsid w:val="006245FC"/>
    <w:rsid w:val="006379E9"/>
    <w:rsid w:val="00643FBF"/>
    <w:rsid w:val="00645872"/>
    <w:rsid w:val="00656A39"/>
    <w:rsid w:val="00660375"/>
    <w:rsid w:val="00662AEA"/>
    <w:rsid w:val="006707D7"/>
    <w:rsid w:val="00674819"/>
    <w:rsid w:val="00684229"/>
    <w:rsid w:val="006937B8"/>
    <w:rsid w:val="006A32B9"/>
    <w:rsid w:val="006D0758"/>
    <w:rsid w:val="006D32D1"/>
    <w:rsid w:val="006D5A92"/>
    <w:rsid w:val="006D74CB"/>
    <w:rsid w:val="006F2B17"/>
    <w:rsid w:val="00707C36"/>
    <w:rsid w:val="00715E87"/>
    <w:rsid w:val="00737A4F"/>
    <w:rsid w:val="00772406"/>
    <w:rsid w:val="00787F46"/>
    <w:rsid w:val="00792546"/>
    <w:rsid w:val="007A337E"/>
    <w:rsid w:val="007B2A79"/>
    <w:rsid w:val="007B502B"/>
    <w:rsid w:val="007B67C3"/>
    <w:rsid w:val="007B79EA"/>
    <w:rsid w:val="007C50EF"/>
    <w:rsid w:val="007C7527"/>
    <w:rsid w:val="007E2F2C"/>
    <w:rsid w:val="007E3C7B"/>
    <w:rsid w:val="007E54BF"/>
    <w:rsid w:val="007F1620"/>
    <w:rsid w:val="00805432"/>
    <w:rsid w:val="00817E00"/>
    <w:rsid w:val="00822289"/>
    <w:rsid w:val="008411AB"/>
    <w:rsid w:val="00847DC6"/>
    <w:rsid w:val="008505D8"/>
    <w:rsid w:val="00870103"/>
    <w:rsid w:val="00885359"/>
    <w:rsid w:val="008E228D"/>
    <w:rsid w:val="008F1514"/>
    <w:rsid w:val="00930E8C"/>
    <w:rsid w:val="0095271C"/>
    <w:rsid w:val="009806DC"/>
    <w:rsid w:val="009A185B"/>
    <w:rsid w:val="009A5106"/>
    <w:rsid w:val="009B04E8"/>
    <w:rsid w:val="009B3E60"/>
    <w:rsid w:val="009D3A0C"/>
    <w:rsid w:val="009D3D43"/>
    <w:rsid w:val="009D799A"/>
    <w:rsid w:val="009E3248"/>
    <w:rsid w:val="009F0D8C"/>
    <w:rsid w:val="00A02606"/>
    <w:rsid w:val="00A16666"/>
    <w:rsid w:val="00A3222C"/>
    <w:rsid w:val="00A340CD"/>
    <w:rsid w:val="00A43777"/>
    <w:rsid w:val="00A4538B"/>
    <w:rsid w:val="00A6542C"/>
    <w:rsid w:val="00A70D18"/>
    <w:rsid w:val="00A738D3"/>
    <w:rsid w:val="00A73DE9"/>
    <w:rsid w:val="00A75346"/>
    <w:rsid w:val="00A82868"/>
    <w:rsid w:val="00A942FE"/>
    <w:rsid w:val="00AA042D"/>
    <w:rsid w:val="00AB7B5F"/>
    <w:rsid w:val="00AC7A32"/>
    <w:rsid w:val="00AD3090"/>
    <w:rsid w:val="00AF096F"/>
    <w:rsid w:val="00B163BD"/>
    <w:rsid w:val="00B3660F"/>
    <w:rsid w:val="00B36BCA"/>
    <w:rsid w:val="00B5752E"/>
    <w:rsid w:val="00B748FC"/>
    <w:rsid w:val="00B74F2D"/>
    <w:rsid w:val="00B76730"/>
    <w:rsid w:val="00B8070E"/>
    <w:rsid w:val="00B865B3"/>
    <w:rsid w:val="00B925BE"/>
    <w:rsid w:val="00BB6ADB"/>
    <w:rsid w:val="00BE7E57"/>
    <w:rsid w:val="00C13927"/>
    <w:rsid w:val="00C20338"/>
    <w:rsid w:val="00C204D5"/>
    <w:rsid w:val="00C24382"/>
    <w:rsid w:val="00C42350"/>
    <w:rsid w:val="00C61C53"/>
    <w:rsid w:val="00C72B61"/>
    <w:rsid w:val="00C73BD5"/>
    <w:rsid w:val="00C816CE"/>
    <w:rsid w:val="00C857F9"/>
    <w:rsid w:val="00CB1018"/>
    <w:rsid w:val="00CB391E"/>
    <w:rsid w:val="00CC090B"/>
    <w:rsid w:val="00CD7289"/>
    <w:rsid w:val="00CE772C"/>
    <w:rsid w:val="00D02F1E"/>
    <w:rsid w:val="00D35821"/>
    <w:rsid w:val="00D35EA3"/>
    <w:rsid w:val="00D452E1"/>
    <w:rsid w:val="00D64644"/>
    <w:rsid w:val="00D7150D"/>
    <w:rsid w:val="00D76511"/>
    <w:rsid w:val="00D76CAB"/>
    <w:rsid w:val="00D8222A"/>
    <w:rsid w:val="00DA1631"/>
    <w:rsid w:val="00DB209E"/>
    <w:rsid w:val="00DD1EAB"/>
    <w:rsid w:val="00DE09B4"/>
    <w:rsid w:val="00DE1288"/>
    <w:rsid w:val="00E02CAB"/>
    <w:rsid w:val="00E05504"/>
    <w:rsid w:val="00E14E87"/>
    <w:rsid w:val="00E233AF"/>
    <w:rsid w:val="00E256D3"/>
    <w:rsid w:val="00E26478"/>
    <w:rsid w:val="00E60818"/>
    <w:rsid w:val="00E80533"/>
    <w:rsid w:val="00E84F71"/>
    <w:rsid w:val="00E9497C"/>
    <w:rsid w:val="00EA4523"/>
    <w:rsid w:val="00EA7A0E"/>
    <w:rsid w:val="00EB0720"/>
    <w:rsid w:val="00EB6FFB"/>
    <w:rsid w:val="00EC4DBA"/>
    <w:rsid w:val="00EE14EC"/>
    <w:rsid w:val="00F13011"/>
    <w:rsid w:val="00F24B6D"/>
    <w:rsid w:val="00F336AE"/>
    <w:rsid w:val="00F33FEF"/>
    <w:rsid w:val="00F54469"/>
    <w:rsid w:val="00F55807"/>
    <w:rsid w:val="00F60A6E"/>
    <w:rsid w:val="00F6111E"/>
    <w:rsid w:val="00F644D0"/>
    <w:rsid w:val="00F704F2"/>
    <w:rsid w:val="00F74781"/>
    <w:rsid w:val="00F96295"/>
    <w:rsid w:val="00FA5865"/>
    <w:rsid w:val="00FB7881"/>
    <w:rsid w:val="00FC0A86"/>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sk-SK" w:eastAsia="sk-SK"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semiHidden="1" w:uiPriority="60" w:unhideWhenUsed="1"/>
    <w:lsdException w:name="Light List" w:semiHidden="1" w:uiPriority="61" w:unhideWhenUsed="1"/>
    <w:lsdException w:name="Light Grid" w:semiHidden="1" w:uiPriority="62" w:unhideWhenUsed="1"/>
    <w:lsdException w:name="Medium Shading 1" w:semiHidden="1" w:uiPriority="63" w:unhideWhenUsed="1"/>
    <w:lsdException w:name="Medium Shading 2" w:semiHidden="1" w:uiPriority="64" w:unhideWhenUsed="1"/>
    <w:lsdException w:name="Medium List 1" w:semiHidden="1" w:uiPriority="65" w:unhideWhenUsed="1"/>
    <w:lsdException w:name="Medium List 2" w:semiHidden="1" w:uiPriority="66" w:unhideWhenUsed="1"/>
    <w:lsdException w:name="Medium Grid 1" w:semiHidden="1" w:uiPriority="67" w:unhideWhenUsed="1"/>
    <w:lsdException w:name="Medium Grid 2" w:semiHidden="1" w:uiPriority="68" w:unhideWhenUsed="1"/>
    <w:lsdException w:name="Medium Grid 3" w:semiHidden="1" w:uiPriority="69" w:unhideWhenUsed="1"/>
    <w:lsdException w:name="Dark List" w:semiHidden="1" w:uiPriority="70" w:unhideWhenUsed="1"/>
    <w:lsdException w:name="Colorful Shading" w:semiHidden="1" w:uiPriority="71" w:unhideWhenUsed="1"/>
    <w:lsdException w:name="Colorful List" w:semiHidden="1" w:uiPriority="72" w:unhideWhenUsed="1"/>
    <w:lsdException w:name="Colorful Grid" w:semiHidden="1" w:uiPriority="73" w:unhideWhenUsed="1"/>
    <w:lsdException w:name="Light Shading Accent 1" w:semiHidden="1" w:uiPriority="60" w:unhideWhenUsed="1"/>
    <w:lsdException w:name="Light List Accent 1" w:semiHidden="1" w:uiPriority="61" w:unhideWhenUsed="1"/>
    <w:lsdException w:name="Light Grid Accent 1" w:semiHidden="1" w:uiPriority="62" w:unhideWhenUsed="1"/>
    <w:lsdException w:name="Medium Shading 1 Accent 1" w:semiHidden="1" w:uiPriority="63" w:unhideWhenUsed="1"/>
    <w:lsdException w:name="Medium Shading 2 Accent 1" w:semiHidden="1" w:uiPriority="64" w:unhideWhenUsed="1"/>
    <w:lsdException w:name="Medium List 1 Accent 1" w:semiHidden="1" w:uiPriority="65" w:unhideWhenUsed="1"/>
    <w:lsdException w:name="Revision" w:semiHidden="1" w:uiPriority="99"/>
    <w:lsdException w:name="List Paragraph" w:uiPriority="34" w:qFormat="1"/>
    <w:lsdException w:name="Quote" w:uiPriority="29" w:qFormat="1"/>
    <w:lsdException w:name="Intense Quote" w:uiPriority="30" w:qFormat="1"/>
    <w:lsdException w:name="Medium List 2 Accent 1" w:semiHidden="1" w:uiPriority="66" w:unhideWhenUsed="1"/>
    <w:lsdException w:name="Medium Grid 1 Accent 1" w:semiHidden="1" w:uiPriority="67" w:unhideWhenUsed="1"/>
    <w:lsdException w:name="Medium Grid 2 Accent 1" w:semiHidden="1" w:uiPriority="68" w:unhideWhenUsed="1"/>
    <w:lsdException w:name="Medium Grid 3 Accent 1" w:semiHidden="1" w:uiPriority="69" w:unhideWhenUsed="1"/>
    <w:lsdException w:name="Dark List Accent 1" w:semiHidden="1" w:uiPriority="70" w:unhideWhenUsed="1"/>
    <w:lsdException w:name="Colorful Shading Accent 1" w:semiHidden="1" w:uiPriority="71" w:unhideWhenUsed="1"/>
    <w:lsdException w:name="Colorful List Accent 1" w:semiHidden="1" w:uiPriority="72" w:unhideWhenUsed="1"/>
    <w:lsdException w:name="Colorful Grid Accent 1" w:semiHidden="1" w:uiPriority="73" w:unhideWhenUsed="1"/>
    <w:lsdException w:name="Light Shading Accent 2" w:semiHidden="1" w:uiPriority="60" w:unhideWhenUsed="1"/>
    <w:lsdException w:name="Light List Accent 2" w:semiHidden="1" w:uiPriority="61" w:unhideWhenUsed="1"/>
    <w:lsdException w:name="Light Grid Accent 2" w:semiHidden="1" w:uiPriority="62" w:unhideWhenUsed="1"/>
    <w:lsdException w:name="Medium Shading 1 Accent 2" w:semiHidden="1" w:uiPriority="63" w:unhideWhenUsed="1"/>
    <w:lsdException w:name="Medium Shading 2 Accent 2" w:semiHidden="1" w:uiPriority="64" w:unhideWhenUsed="1"/>
    <w:lsdException w:name="Medium List 1 Accent 2" w:semiHidden="1" w:uiPriority="65" w:unhideWhenUsed="1"/>
    <w:lsdException w:name="Medium List 2 Accent 2" w:semiHidden="1" w:uiPriority="66" w:unhideWhenUsed="1"/>
    <w:lsdException w:name="Medium Grid 1 Accent 2" w:semiHidden="1" w:uiPriority="67" w:unhideWhenUsed="1"/>
    <w:lsdException w:name="Medium Grid 2 Accent 2" w:semiHidden="1" w:uiPriority="68" w:unhideWhenUsed="1"/>
    <w:lsdException w:name="Medium Grid 3 Accent 2" w:semiHidden="1" w:uiPriority="69" w:unhideWhenUsed="1"/>
    <w:lsdException w:name="Dark List Accent 2" w:semiHidden="1" w:uiPriority="70" w:unhideWhenUsed="1"/>
    <w:lsdException w:name="Colorful Shading Accent 2" w:semiHidden="1" w:uiPriority="71" w:unhideWhenUsed="1"/>
    <w:lsdException w:name="Colorful List Accent 2" w:semiHidden="1" w:uiPriority="72" w:unhideWhenUsed="1"/>
    <w:lsdException w:name="Colorful Grid Accent 2" w:semiHidden="1" w:uiPriority="73" w:unhideWhenUsed="1"/>
    <w:lsdException w:name="Light Shading Accent 3" w:semiHidden="1" w:uiPriority="60" w:unhideWhenUsed="1"/>
    <w:lsdException w:name="Light List Accent 3" w:semiHidden="1" w:uiPriority="61" w:unhideWhenUsed="1"/>
    <w:lsdException w:name="Light Grid Accent 3" w:semiHidden="1" w:uiPriority="62" w:unhideWhenUsed="1"/>
    <w:lsdException w:name="Medium Shading 1 Accent 3" w:semiHidden="1" w:uiPriority="63" w:unhideWhenUsed="1"/>
    <w:lsdException w:name="Medium Shading 2 Accent 3" w:semiHidden="1" w:uiPriority="64" w:unhideWhenUsed="1"/>
    <w:lsdException w:name="Medium List 1 Accent 3" w:semiHidden="1" w:uiPriority="65" w:unhideWhenUsed="1"/>
    <w:lsdException w:name="Medium List 2 Accent 3" w:semiHidden="1" w:uiPriority="66" w:unhideWhenUsed="1"/>
    <w:lsdException w:name="Medium Grid 1 Accent 3" w:semiHidden="1" w:uiPriority="67" w:unhideWhenUsed="1"/>
    <w:lsdException w:name="Medium Grid 2 Accent 3" w:semiHidden="1" w:uiPriority="68" w:unhideWhenUsed="1"/>
    <w:lsdException w:name="Medium Grid 3 Accent 3" w:semiHidden="1" w:uiPriority="69" w:unhideWhenUsed="1"/>
    <w:lsdException w:name="Dark List Accent 3" w:semiHidden="1" w:uiPriority="70" w:unhideWhenUsed="1"/>
    <w:lsdException w:name="Colorful Shading Accent 3" w:semiHidden="1" w:uiPriority="71" w:unhideWhenUsed="1"/>
    <w:lsdException w:name="Colorful List Accent 3" w:semiHidden="1" w:uiPriority="72" w:unhideWhenUsed="1"/>
    <w:lsdException w:name="Colorful Grid Accent 3" w:semiHidden="1" w:uiPriority="73" w:unhideWhenUsed="1"/>
    <w:lsdException w:name="Light Shading Accent 4" w:semiHidden="1" w:uiPriority="60" w:unhideWhenUsed="1"/>
    <w:lsdException w:name="Light List Accent 4" w:semiHidden="1" w:uiPriority="61" w:unhideWhenUsed="1"/>
    <w:lsdException w:name="Light Grid Accent 4" w:semiHidden="1" w:uiPriority="62" w:unhideWhenUsed="1"/>
    <w:lsdException w:name="Medium Shading 1 Accent 4" w:semiHidden="1" w:uiPriority="63" w:unhideWhenUsed="1"/>
    <w:lsdException w:name="Medium Shading 2 Accent 4" w:semiHidden="1" w:uiPriority="64" w:unhideWhenUsed="1"/>
    <w:lsdException w:name="Medium List 1 Accent 4" w:semiHidden="1" w:uiPriority="65" w:unhideWhenUsed="1"/>
    <w:lsdException w:name="Medium List 2 Accent 4" w:semiHidden="1" w:uiPriority="66" w:unhideWhenUsed="1"/>
    <w:lsdException w:name="Medium Grid 1 Accent 4" w:semiHidden="1" w:uiPriority="67" w:unhideWhenUsed="1"/>
    <w:lsdException w:name="Medium Grid 2 Accent 4" w:semiHidden="1" w:uiPriority="68" w:unhideWhenUsed="1"/>
    <w:lsdException w:name="Medium Grid 3 Accent 4" w:semiHidden="1" w:uiPriority="69" w:unhideWhenUsed="1"/>
    <w:lsdException w:name="Dark List Accent 4" w:semiHidden="1" w:uiPriority="70" w:unhideWhenUsed="1"/>
    <w:lsdException w:name="Colorful Shading Accent 4" w:semiHidden="1" w:uiPriority="71" w:unhideWhenUsed="1"/>
    <w:lsdException w:name="Colorful List Accent 4" w:semiHidden="1" w:uiPriority="72" w:unhideWhenUsed="1"/>
    <w:lsdException w:name="Colorful Grid Accent 4" w:semiHidden="1" w:uiPriority="73" w:unhideWhenUsed="1"/>
    <w:lsdException w:name="Light Shading Accent 5" w:semiHidden="1" w:uiPriority="60" w:unhideWhenUsed="1"/>
    <w:lsdException w:name="Light List Accent 5" w:semiHidden="1" w:uiPriority="61" w:unhideWhenUsed="1"/>
    <w:lsdException w:name="Light Grid Accent 5" w:semiHidden="1" w:uiPriority="62" w:unhideWhenUsed="1"/>
    <w:lsdException w:name="Medium Shading 1 Accent 5" w:semiHidden="1" w:uiPriority="63" w:unhideWhenUsed="1"/>
    <w:lsdException w:name="Medium Shading 2 Accent 5" w:semiHidden="1" w:uiPriority="64" w:unhideWhenUsed="1"/>
    <w:lsdException w:name="Medium List 1 Accent 5" w:semiHidden="1" w:uiPriority="65" w:unhideWhenUsed="1"/>
    <w:lsdException w:name="Medium List 2 Accent 5" w:semiHidden="1" w:uiPriority="66" w:unhideWhenUsed="1"/>
    <w:lsdException w:name="Medium Grid 1 Accent 5" w:semiHidden="1" w:uiPriority="67" w:unhideWhenUsed="1"/>
    <w:lsdException w:name="Medium Grid 2 Accent 5" w:semiHidden="1" w:uiPriority="68" w:unhideWhenUsed="1"/>
    <w:lsdException w:name="Medium Grid 3 Accent 5" w:semiHidden="1" w:uiPriority="69" w:unhideWhenUsed="1"/>
    <w:lsdException w:name="Dark List Accent 5" w:semiHidden="1" w:uiPriority="70" w:unhideWhenUsed="1"/>
    <w:lsdException w:name="Colorful Shading Accent 5" w:semiHidden="1" w:uiPriority="71" w:unhideWhenUsed="1"/>
    <w:lsdException w:name="Colorful List Accent 5" w:semiHidden="1" w:uiPriority="72" w:unhideWhenUsed="1"/>
    <w:lsdException w:name="Colorful Grid Accent 5" w:semiHidden="1" w:uiPriority="73" w:unhideWhenUsed="1"/>
    <w:lsdException w:name="Light Shading Accent 6" w:semiHidden="1" w:uiPriority="60" w:unhideWhenUsed="1"/>
    <w:lsdException w:name="Light List Accent 6" w:semiHidden="1" w:uiPriority="61" w:unhideWhenUsed="1"/>
    <w:lsdException w:name="Light Grid Accent 6" w:semiHidden="1" w:uiPriority="62" w:unhideWhenUsed="1"/>
    <w:lsdException w:name="Medium Shading 1 Accent 6" w:semiHidden="1" w:uiPriority="63" w:unhideWhenUsed="1"/>
    <w:lsdException w:name="Medium Shading 2 Accent 6" w:semiHidden="1" w:uiPriority="64" w:unhideWhenUsed="1"/>
    <w:lsdException w:name="Medium List 1 Accent 6" w:semiHidden="1" w:uiPriority="65" w:unhideWhenUsed="1"/>
    <w:lsdException w:name="Medium List 2 Accent 6" w:semiHidden="1" w:uiPriority="66" w:unhideWhenUsed="1"/>
    <w:lsdException w:name="Medium Grid 1 Accent 6" w:semiHidden="1" w:uiPriority="67" w:unhideWhenUsed="1"/>
    <w:lsdException w:name="Medium Grid 2 Accent 6" w:semiHidden="1" w:uiPriority="68" w:unhideWhenUsed="1"/>
    <w:lsdException w:name="Medium Grid 3 Accent 6" w:semiHidden="1" w:uiPriority="69" w:unhideWhenUsed="1"/>
    <w:lsdException w:name="Dark List Accent 6" w:semiHidden="1" w:uiPriority="70" w:unhideWhenUsed="1"/>
    <w:lsdException w:name="Colorful Shading Accent 6" w:semiHidden="1" w:uiPriority="71" w:unhideWhenUsed="1"/>
    <w:lsdException w:name="Colorful List Accent 6" w:semiHidden="1" w:uiPriority="72" w:unhideWhenUsed="1"/>
    <w:lsdException w:name="Colorful Grid Accent 6" w:semiHidden="1" w:uiPriority="73" w:unhideWhenUsed="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ln">
    <w:name w:val="Normal"/>
    <w:qFormat/>
    <w:rPr>
      <w:sz w:val="24"/>
      <w:szCs w:val="24"/>
    </w:rPr>
  </w:style>
  <w:style w:type="paragraph" w:styleId="Nadpis1">
    <w:name w:val="heading 1"/>
    <w:basedOn w:val="Normln"/>
    <w:next w:val="Normln"/>
    <w:link w:val="Nadpis1Char"/>
    <w:qFormat/>
    <w:rsid w:val="00CC090B"/>
    <w:pPr>
      <w:keepNext/>
      <w:spacing w:before="240" w:after="60"/>
      <w:outlineLvl w:val="0"/>
    </w:pPr>
    <w:rPr>
      <w:rFonts w:ascii="Calibri Light" w:hAnsi="Calibri Light"/>
      <w:b/>
      <w:bCs/>
      <w:kern w:val="32"/>
      <w:sz w:val="32"/>
      <w:szCs w:val="32"/>
    </w:rPr>
  </w:style>
  <w:style w:type="character" w:default="1" w:styleId="Standardnpsmoodstavce">
    <w:name w:val="Default Paragraph Font"/>
    <w:semiHidden/>
  </w:style>
  <w:style w:type="table" w:default="1" w:styleId="Normlntabulka">
    <w:name w:val="Normal Table"/>
    <w:semiHidden/>
    <w:tblPr>
      <w:tblInd w:w="0" w:type="dxa"/>
      <w:tblCellMar>
        <w:top w:w="0" w:type="dxa"/>
        <w:left w:w="108" w:type="dxa"/>
        <w:bottom w:w="0" w:type="dxa"/>
        <w:right w:w="108" w:type="dxa"/>
      </w:tblCellMar>
    </w:tblPr>
  </w:style>
  <w:style w:type="numbering" w:default="1" w:styleId="Bezseznamu">
    <w:name w:val="No List"/>
    <w:semiHidden/>
  </w:style>
  <w:style w:type="character" w:customStyle="1" w:styleId="Nadpis1Char">
    <w:name w:val="Nadpis 1 Char"/>
    <w:link w:val="Nadpis1"/>
    <w:rsid w:val="00CC090B"/>
    <w:rPr>
      <w:rFonts w:ascii="Calibri Light" w:eastAsia="Times New Roman" w:hAnsi="Calibri Light" w:cs="Times New Roman"/>
      <w:b/>
      <w:bCs/>
      <w:kern w:val="32"/>
      <w:sz w:val="32"/>
      <w:szCs w:val="32"/>
    </w:rPr>
  </w:style>
  <w:style w:type="paragraph" w:styleId="Nadpisobsahu">
    <w:name w:val="TOC Heading"/>
    <w:basedOn w:val="Nadpis1"/>
    <w:next w:val="Normln"/>
    <w:uiPriority w:val="39"/>
    <w:unhideWhenUsed/>
    <w:qFormat/>
    <w:rsid w:val="00CC090B"/>
    <w:pPr>
      <w:keepLines/>
      <w:spacing w:after="0" w:line="259" w:lineRule="auto"/>
      <w:outlineLvl w:val="9"/>
    </w:pPr>
    <w:rPr>
      <w:b w:val="0"/>
      <w:bCs w:val="0"/>
      <w:color w:val="2F5496"/>
      <w:kern w:val="0"/>
    </w:rPr>
  </w:style>
  <w:style w:type="paragraph" w:styleId="Obsah2">
    <w:name w:val="toc 2"/>
    <w:basedOn w:val="Normln"/>
    <w:next w:val="Normln"/>
    <w:autoRedefine/>
    <w:uiPriority w:val="39"/>
    <w:unhideWhenUsed/>
    <w:qFormat/>
    <w:rsid w:val="00CC090B"/>
    <w:pPr>
      <w:spacing w:after="100" w:line="259" w:lineRule="auto"/>
      <w:ind w:left="220"/>
    </w:pPr>
    <w:rPr>
      <w:rFonts w:ascii="Calibri" w:hAnsi="Calibri"/>
      <w:sz w:val="22"/>
      <w:szCs w:val="22"/>
    </w:rPr>
  </w:style>
  <w:style w:type="paragraph" w:styleId="Obsah1">
    <w:name w:val="toc 1"/>
    <w:basedOn w:val="Normln"/>
    <w:next w:val="Normln"/>
    <w:autoRedefine/>
    <w:uiPriority w:val="39"/>
    <w:unhideWhenUsed/>
    <w:qFormat/>
    <w:rsid w:val="00CC090B"/>
    <w:pPr>
      <w:spacing w:after="100" w:line="259" w:lineRule="auto"/>
    </w:pPr>
    <w:rPr>
      <w:rFonts w:ascii="Calibri" w:hAnsi="Calibri"/>
      <w:sz w:val="22"/>
      <w:szCs w:val="22"/>
    </w:rPr>
  </w:style>
  <w:style w:type="paragraph" w:styleId="Obsah3">
    <w:name w:val="toc 3"/>
    <w:basedOn w:val="Normln"/>
    <w:next w:val="Normln"/>
    <w:autoRedefine/>
    <w:uiPriority w:val="39"/>
    <w:unhideWhenUsed/>
    <w:qFormat/>
    <w:rsid w:val="00CC090B"/>
    <w:pPr>
      <w:spacing w:after="100" w:line="259" w:lineRule="auto"/>
      <w:ind w:left="440"/>
    </w:pPr>
    <w:rPr>
      <w:rFonts w:ascii="Calibri" w:hAnsi="Calibri"/>
      <w:sz w:val="22"/>
      <w:szCs w:val="22"/>
    </w:rPr>
  </w:style>
  <w:style w:type="paragraph" w:styleId="Zhlav">
    <w:name w:val="header"/>
    <w:basedOn w:val="Normln"/>
    <w:link w:val="ZhlavChar"/>
    <w:rsid w:val="00104F68"/>
    <w:pPr>
      <w:tabs>
        <w:tab w:val="center" w:pos="4536"/>
        <w:tab w:val="right" w:pos="9072"/>
      </w:tabs>
    </w:pPr>
  </w:style>
  <w:style w:type="character" w:customStyle="1" w:styleId="ZhlavChar">
    <w:name w:val="Záhlaví Char"/>
    <w:link w:val="Zhlav"/>
    <w:rsid w:val="00104F68"/>
    <w:rPr>
      <w:sz w:val="24"/>
      <w:szCs w:val="24"/>
    </w:rPr>
  </w:style>
  <w:style w:type="paragraph" w:styleId="Zpat">
    <w:name w:val="footer"/>
    <w:basedOn w:val="Normln"/>
    <w:link w:val="ZpatChar"/>
    <w:uiPriority w:val="99"/>
    <w:rsid w:val="00104F68"/>
    <w:pPr>
      <w:tabs>
        <w:tab w:val="center" w:pos="4536"/>
        <w:tab w:val="right" w:pos="9072"/>
      </w:tabs>
    </w:pPr>
  </w:style>
  <w:style w:type="character" w:customStyle="1" w:styleId="ZpatChar">
    <w:name w:val="Zápatí Char"/>
    <w:link w:val="Zpat"/>
    <w:uiPriority w:val="99"/>
    <w:rsid w:val="00104F68"/>
    <w:rPr>
      <w:sz w:val="24"/>
      <w:szCs w:val="24"/>
    </w:rPr>
  </w:style>
  <w:style w:type="character" w:styleId="Hypertextovodkaz">
    <w:name w:val="Hyperlink"/>
    <w:uiPriority w:val="99"/>
    <w:rsid w:val="00F74781"/>
    <w:rPr>
      <w:color w:val="0563C1"/>
      <w:u w:val="single"/>
    </w:rPr>
  </w:style>
  <w:style w:type="character" w:customStyle="1" w:styleId="Nevyrieenzmienka">
    <w:name w:val="Nevyriešená zmienka"/>
    <w:uiPriority w:val="99"/>
    <w:semiHidden/>
    <w:unhideWhenUsed/>
    <w:rsid w:val="00F74781"/>
    <w:rPr>
      <w:color w:val="605E5C"/>
      <w:shd w:val="clear" w:color="auto" w:fill="E1DFDD"/>
    </w:rPr>
  </w:style>
  <w:style w:type="table" w:styleId="Mkatabulky">
    <w:name w:val="Table Grid"/>
    <w:basedOn w:val="Normlntabulka"/>
    <w:rsid w:val="007925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bubliny">
    <w:name w:val="Balloon Text"/>
    <w:basedOn w:val="Normln"/>
    <w:link w:val="TextbublinyChar"/>
    <w:rsid w:val="00AD3090"/>
    <w:rPr>
      <w:rFonts w:ascii="Tahoma" w:hAnsi="Tahoma" w:cs="Tahoma"/>
      <w:sz w:val="16"/>
      <w:szCs w:val="16"/>
    </w:rPr>
  </w:style>
  <w:style w:type="character" w:customStyle="1" w:styleId="TextbublinyChar">
    <w:name w:val="Text bubliny Char"/>
    <w:link w:val="Textbubliny"/>
    <w:rsid w:val="00AD3090"/>
    <w:rPr>
      <w:rFonts w:ascii="Tahoma" w:hAnsi="Tahoma" w:cs="Tahoma"/>
      <w:sz w:val="16"/>
      <w:szCs w:val="16"/>
    </w:rPr>
  </w:style>
  <w:style w:type="table" w:styleId="Barevntabulka1">
    <w:name w:val="Table Colorful 1"/>
    <w:basedOn w:val="Normlntabulka"/>
    <w:rsid w:val="00A16666"/>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Barevntabulka2">
    <w:name w:val="Table Colorful 2"/>
    <w:basedOn w:val="Normlntabulka"/>
    <w:rsid w:val="00A16666"/>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paragraph" w:styleId="Nzev">
    <w:name w:val="Title"/>
    <w:basedOn w:val="Normln"/>
    <w:next w:val="Normln"/>
    <w:link w:val="NzevChar"/>
    <w:qFormat/>
    <w:rsid w:val="003E09DF"/>
    <w:pPr>
      <w:spacing w:before="240" w:after="60"/>
      <w:jc w:val="center"/>
      <w:outlineLvl w:val="0"/>
    </w:pPr>
    <w:rPr>
      <w:rFonts w:asciiTheme="majorHAnsi" w:eastAsiaTheme="majorEastAsia" w:hAnsiTheme="majorHAnsi" w:cstheme="majorBidi"/>
      <w:b/>
      <w:bCs/>
      <w:kern w:val="28"/>
      <w:sz w:val="32"/>
      <w:szCs w:val="32"/>
    </w:rPr>
  </w:style>
  <w:style w:type="character" w:customStyle="1" w:styleId="NzevChar">
    <w:name w:val="Název Char"/>
    <w:basedOn w:val="Standardnpsmoodstavce"/>
    <w:link w:val="Nzev"/>
    <w:rsid w:val="003E09DF"/>
    <w:rPr>
      <w:rFonts w:asciiTheme="majorHAnsi" w:eastAsiaTheme="majorEastAsia" w:hAnsiTheme="majorHAnsi" w:cstheme="majorBidi"/>
      <w:b/>
      <w:bCs/>
      <w:kern w:val="28"/>
      <w:sz w:val="32"/>
      <w:szCs w:val="32"/>
    </w:rPr>
  </w:style>
  <w:style w:type="paragraph" w:styleId="Textpoznpodarou">
    <w:name w:val="footnote text"/>
    <w:basedOn w:val="Normln"/>
    <w:link w:val="TextpoznpodarouChar"/>
    <w:rsid w:val="00645872"/>
    <w:rPr>
      <w:sz w:val="20"/>
      <w:szCs w:val="20"/>
    </w:rPr>
  </w:style>
  <w:style w:type="character" w:customStyle="1" w:styleId="TextpoznpodarouChar">
    <w:name w:val="Text pozn. pod čarou Char"/>
    <w:basedOn w:val="Standardnpsmoodstavce"/>
    <w:link w:val="Textpoznpodarou"/>
    <w:rsid w:val="00645872"/>
  </w:style>
  <w:style w:type="character" w:styleId="Znakapoznpodarou">
    <w:name w:val="footnote reference"/>
    <w:basedOn w:val="Standardnpsmoodstavce"/>
    <w:rsid w:val="00645872"/>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sk-SK" w:eastAsia="sk-SK"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semiHidden="1" w:uiPriority="60" w:unhideWhenUsed="1"/>
    <w:lsdException w:name="Light List" w:semiHidden="1" w:uiPriority="61" w:unhideWhenUsed="1"/>
    <w:lsdException w:name="Light Grid" w:semiHidden="1" w:uiPriority="62" w:unhideWhenUsed="1"/>
    <w:lsdException w:name="Medium Shading 1" w:semiHidden="1" w:uiPriority="63" w:unhideWhenUsed="1"/>
    <w:lsdException w:name="Medium Shading 2" w:semiHidden="1" w:uiPriority="64" w:unhideWhenUsed="1"/>
    <w:lsdException w:name="Medium List 1" w:semiHidden="1" w:uiPriority="65" w:unhideWhenUsed="1"/>
    <w:lsdException w:name="Medium List 2" w:semiHidden="1" w:uiPriority="66" w:unhideWhenUsed="1"/>
    <w:lsdException w:name="Medium Grid 1" w:semiHidden="1" w:uiPriority="67" w:unhideWhenUsed="1"/>
    <w:lsdException w:name="Medium Grid 2" w:semiHidden="1" w:uiPriority="68" w:unhideWhenUsed="1"/>
    <w:lsdException w:name="Medium Grid 3" w:semiHidden="1" w:uiPriority="69" w:unhideWhenUsed="1"/>
    <w:lsdException w:name="Dark List" w:semiHidden="1" w:uiPriority="70" w:unhideWhenUsed="1"/>
    <w:lsdException w:name="Colorful Shading" w:semiHidden="1" w:uiPriority="71" w:unhideWhenUsed="1"/>
    <w:lsdException w:name="Colorful List" w:semiHidden="1" w:uiPriority="72" w:unhideWhenUsed="1"/>
    <w:lsdException w:name="Colorful Grid" w:semiHidden="1" w:uiPriority="73" w:unhideWhenUsed="1"/>
    <w:lsdException w:name="Light Shading Accent 1" w:semiHidden="1" w:uiPriority="60" w:unhideWhenUsed="1"/>
    <w:lsdException w:name="Light List Accent 1" w:semiHidden="1" w:uiPriority="61" w:unhideWhenUsed="1"/>
    <w:lsdException w:name="Light Grid Accent 1" w:semiHidden="1" w:uiPriority="62" w:unhideWhenUsed="1"/>
    <w:lsdException w:name="Medium Shading 1 Accent 1" w:semiHidden="1" w:uiPriority="63" w:unhideWhenUsed="1"/>
    <w:lsdException w:name="Medium Shading 2 Accent 1" w:semiHidden="1" w:uiPriority="64" w:unhideWhenUsed="1"/>
    <w:lsdException w:name="Medium List 1 Accent 1" w:semiHidden="1" w:uiPriority="65" w:unhideWhenUsed="1"/>
    <w:lsdException w:name="Revision" w:semiHidden="1" w:uiPriority="99"/>
    <w:lsdException w:name="List Paragraph" w:uiPriority="34" w:qFormat="1"/>
    <w:lsdException w:name="Quote" w:uiPriority="29" w:qFormat="1"/>
    <w:lsdException w:name="Intense Quote" w:uiPriority="30" w:qFormat="1"/>
    <w:lsdException w:name="Medium List 2 Accent 1" w:semiHidden="1" w:uiPriority="66" w:unhideWhenUsed="1"/>
    <w:lsdException w:name="Medium Grid 1 Accent 1" w:semiHidden="1" w:uiPriority="67" w:unhideWhenUsed="1"/>
    <w:lsdException w:name="Medium Grid 2 Accent 1" w:semiHidden="1" w:uiPriority="68" w:unhideWhenUsed="1"/>
    <w:lsdException w:name="Medium Grid 3 Accent 1" w:semiHidden="1" w:uiPriority="69" w:unhideWhenUsed="1"/>
    <w:lsdException w:name="Dark List Accent 1" w:semiHidden="1" w:uiPriority="70" w:unhideWhenUsed="1"/>
    <w:lsdException w:name="Colorful Shading Accent 1" w:semiHidden="1" w:uiPriority="71" w:unhideWhenUsed="1"/>
    <w:lsdException w:name="Colorful List Accent 1" w:semiHidden="1" w:uiPriority="72" w:unhideWhenUsed="1"/>
    <w:lsdException w:name="Colorful Grid Accent 1" w:semiHidden="1" w:uiPriority="73" w:unhideWhenUsed="1"/>
    <w:lsdException w:name="Light Shading Accent 2" w:semiHidden="1" w:uiPriority="60" w:unhideWhenUsed="1"/>
    <w:lsdException w:name="Light List Accent 2" w:semiHidden="1" w:uiPriority="61" w:unhideWhenUsed="1"/>
    <w:lsdException w:name="Light Grid Accent 2" w:semiHidden="1" w:uiPriority="62" w:unhideWhenUsed="1"/>
    <w:lsdException w:name="Medium Shading 1 Accent 2" w:semiHidden="1" w:uiPriority="63" w:unhideWhenUsed="1"/>
    <w:lsdException w:name="Medium Shading 2 Accent 2" w:semiHidden="1" w:uiPriority="64" w:unhideWhenUsed="1"/>
    <w:lsdException w:name="Medium List 1 Accent 2" w:semiHidden="1" w:uiPriority="65" w:unhideWhenUsed="1"/>
    <w:lsdException w:name="Medium List 2 Accent 2" w:semiHidden="1" w:uiPriority="66" w:unhideWhenUsed="1"/>
    <w:lsdException w:name="Medium Grid 1 Accent 2" w:semiHidden="1" w:uiPriority="67" w:unhideWhenUsed="1"/>
    <w:lsdException w:name="Medium Grid 2 Accent 2" w:semiHidden="1" w:uiPriority="68" w:unhideWhenUsed="1"/>
    <w:lsdException w:name="Medium Grid 3 Accent 2" w:semiHidden="1" w:uiPriority="69" w:unhideWhenUsed="1"/>
    <w:lsdException w:name="Dark List Accent 2" w:semiHidden="1" w:uiPriority="70" w:unhideWhenUsed="1"/>
    <w:lsdException w:name="Colorful Shading Accent 2" w:semiHidden="1" w:uiPriority="71" w:unhideWhenUsed="1"/>
    <w:lsdException w:name="Colorful List Accent 2" w:semiHidden="1" w:uiPriority="72" w:unhideWhenUsed="1"/>
    <w:lsdException w:name="Colorful Grid Accent 2" w:semiHidden="1" w:uiPriority="73" w:unhideWhenUsed="1"/>
    <w:lsdException w:name="Light Shading Accent 3" w:semiHidden="1" w:uiPriority="60" w:unhideWhenUsed="1"/>
    <w:lsdException w:name="Light List Accent 3" w:semiHidden="1" w:uiPriority="61" w:unhideWhenUsed="1"/>
    <w:lsdException w:name="Light Grid Accent 3" w:semiHidden="1" w:uiPriority="62" w:unhideWhenUsed="1"/>
    <w:lsdException w:name="Medium Shading 1 Accent 3" w:semiHidden="1" w:uiPriority="63" w:unhideWhenUsed="1"/>
    <w:lsdException w:name="Medium Shading 2 Accent 3" w:semiHidden="1" w:uiPriority="64" w:unhideWhenUsed="1"/>
    <w:lsdException w:name="Medium List 1 Accent 3" w:semiHidden="1" w:uiPriority="65" w:unhideWhenUsed="1"/>
    <w:lsdException w:name="Medium List 2 Accent 3" w:semiHidden="1" w:uiPriority="66" w:unhideWhenUsed="1"/>
    <w:lsdException w:name="Medium Grid 1 Accent 3" w:semiHidden="1" w:uiPriority="67" w:unhideWhenUsed="1"/>
    <w:lsdException w:name="Medium Grid 2 Accent 3" w:semiHidden="1" w:uiPriority="68" w:unhideWhenUsed="1"/>
    <w:lsdException w:name="Medium Grid 3 Accent 3" w:semiHidden="1" w:uiPriority="69" w:unhideWhenUsed="1"/>
    <w:lsdException w:name="Dark List Accent 3" w:semiHidden="1" w:uiPriority="70" w:unhideWhenUsed="1"/>
    <w:lsdException w:name="Colorful Shading Accent 3" w:semiHidden="1" w:uiPriority="71" w:unhideWhenUsed="1"/>
    <w:lsdException w:name="Colorful List Accent 3" w:semiHidden="1" w:uiPriority="72" w:unhideWhenUsed="1"/>
    <w:lsdException w:name="Colorful Grid Accent 3" w:semiHidden="1" w:uiPriority="73" w:unhideWhenUsed="1"/>
    <w:lsdException w:name="Light Shading Accent 4" w:semiHidden="1" w:uiPriority="60" w:unhideWhenUsed="1"/>
    <w:lsdException w:name="Light List Accent 4" w:semiHidden="1" w:uiPriority="61" w:unhideWhenUsed="1"/>
    <w:lsdException w:name="Light Grid Accent 4" w:semiHidden="1" w:uiPriority="62" w:unhideWhenUsed="1"/>
    <w:lsdException w:name="Medium Shading 1 Accent 4" w:semiHidden="1" w:uiPriority="63" w:unhideWhenUsed="1"/>
    <w:lsdException w:name="Medium Shading 2 Accent 4" w:semiHidden="1" w:uiPriority="64" w:unhideWhenUsed="1"/>
    <w:lsdException w:name="Medium List 1 Accent 4" w:semiHidden="1" w:uiPriority="65" w:unhideWhenUsed="1"/>
    <w:lsdException w:name="Medium List 2 Accent 4" w:semiHidden="1" w:uiPriority="66" w:unhideWhenUsed="1"/>
    <w:lsdException w:name="Medium Grid 1 Accent 4" w:semiHidden="1" w:uiPriority="67" w:unhideWhenUsed="1"/>
    <w:lsdException w:name="Medium Grid 2 Accent 4" w:semiHidden="1" w:uiPriority="68" w:unhideWhenUsed="1"/>
    <w:lsdException w:name="Medium Grid 3 Accent 4" w:semiHidden="1" w:uiPriority="69" w:unhideWhenUsed="1"/>
    <w:lsdException w:name="Dark List Accent 4" w:semiHidden="1" w:uiPriority="70" w:unhideWhenUsed="1"/>
    <w:lsdException w:name="Colorful Shading Accent 4" w:semiHidden="1" w:uiPriority="71" w:unhideWhenUsed="1"/>
    <w:lsdException w:name="Colorful List Accent 4" w:semiHidden="1" w:uiPriority="72" w:unhideWhenUsed="1"/>
    <w:lsdException w:name="Colorful Grid Accent 4" w:semiHidden="1" w:uiPriority="73" w:unhideWhenUsed="1"/>
    <w:lsdException w:name="Light Shading Accent 5" w:semiHidden="1" w:uiPriority="60" w:unhideWhenUsed="1"/>
    <w:lsdException w:name="Light List Accent 5" w:semiHidden="1" w:uiPriority="61" w:unhideWhenUsed="1"/>
    <w:lsdException w:name="Light Grid Accent 5" w:semiHidden="1" w:uiPriority="62" w:unhideWhenUsed="1"/>
    <w:lsdException w:name="Medium Shading 1 Accent 5" w:semiHidden="1" w:uiPriority="63" w:unhideWhenUsed="1"/>
    <w:lsdException w:name="Medium Shading 2 Accent 5" w:semiHidden="1" w:uiPriority="64" w:unhideWhenUsed="1"/>
    <w:lsdException w:name="Medium List 1 Accent 5" w:semiHidden="1" w:uiPriority="65" w:unhideWhenUsed="1"/>
    <w:lsdException w:name="Medium List 2 Accent 5" w:semiHidden="1" w:uiPriority="66" w:unhideWhenUsed="1"/>
    <w:lsdException w:name="Medium Grid 1 Accent 5" w:semiHidden="1" w:uiPriority="67" w:unhideWhenUsed="1"/>
    <w:lsdException w:name="Medium Grid 2 Accent 5" w:semiHidden="1" w:uiPriority="68" w:unhideWhenUsed="1"/>
    <w:lsdException w:name="Medium Grid 3 Accent 5" w:semiHidden="1" w:uiPriority="69" w:unhideWhenUsed="1"/>
    <w:lsdException w:name="Dark List Accent 5" w:semiHidden="1" w:uiPriority="70" w:unhideWhenUsed="1"/>
    <w:lsdException w:name="Colorful Shading Accent 5" w:semiHidden="1" w:uiPriority="71" w:unhideWhenUsed="1"/>
    <w:lsdException w:name="Colorful List Accent 5" w:semiHidden="1" w:uiPriority="72" w:unhideWhenUsed="1"/>
    <w:lsdException w:name="Colorful Grid Accent 5" w:semiHidden="1" w:uiPriority="73" w:unhideWhenUsed="1"/>
    <w:lsdException w:name="Light Shading Accent 6" w:semiHidden="1" w:uiPriority="60" w:unhideWhenUsed="1"/>
    <w:lsdException w:name="Light List Accent 6" w:semiHidden="1" w:uiPriority="61" w:unhideWhenUsed="1"/>
    <w:lsdException w:name="Light Grid Accent 6" w:semiHidden="1" w:uiPriority="62" w:unhideWhenUsed="1"/>
    <w:lsdException w:name="Medium Shading 1 Accent 6" w:semiHidden="1" w:uiPriority="63" w:unhideWhenUsed="1"/>
    <w:lsdException w:name="Medium Shading 2 Accent 6" w:semiHidden="1" w:uiPriority="64" w:unhideWhenUsed="1"/>
    <w:lsdException w:name="Medium List 1 Accent 6" w:semiHidden="1" w:uiPriority="65" w:unhideWhenUsed="1"/>
    <w:lsdException w:name="Medium List 2 Accent 6" w:semiHidden="1" w:uiPriority="66" w:unhideWhenUsed="1"/>
    <w:lsdException w:name="Medium Grid 1 Accent 6" w:semiHidden="1" w:uiPriority="67" w:unhideWhenUsed="1"/>
    <w:lsdException w:name="Medium Grid 2 Accent 6" w:semiHidden="1" w:uiPriority="68" w:unhideWhenUsed="1"/>
    <w:lsdException w:name="Medium Grid 3 Accent 6" w:semiHidden="1" w:uiPriority="69" w:unhideWhenUsed="1"/>
    <w:lsdException w:name="Dark List Accent 6" w:semiHidden="1" w:uiPriority="70" w:unhideWhenUsed="1"/>
    <w:lsdException w:name="Colorful Shading Accent 6" w:semiHidden="1" w:uiPriority="71" w:unhideWhenUsed="1"/>
    <w:lsdException w:name="Colorful List Accent 6" w:semiHidden="1" w:uiPriority="72" w:unhideWhenUsed="1"/>
    <w:lsdException w:name="Colorful Grid Accent 6" w:semiHidden="1" w:uiPriority="73" w:unhideWhenUsed="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ln">
    <w:name w:val="Normal"/>
    <w:qFormat/>
    <w:rPr>
      <w:sz w:val="24"/>
      <w:szCs w:val="24"/>
    </w:rPr>
  </w:style>
  <w:style w:type="paragraph" w:styleId="Nadpis1">
    <w:name w:val="heading 1"/>
    <w:basedOn w:val="Normln"/>
    <w:next w:val="Normln"/>
    <w:link w:val="Nadpis1Char"/>
    <w:qFormat/>
    <w:rsid w:val="00CC090B"/>
    <w:pPr>
      <w:keepNext/>
      <w:spacing w:before="240" w:after="60"/>
      <w:outlineLvl w:val="0"/>
    </w:pPr>
    <w:rPr>
      <w:rFonts w:ascii="Calibri Light" w:hAnsi="Calibri Light"/>
      <w:b/>
      <w:bCs/>
      <w:kern w:val="32"/>
      <w:sz w:val="32"/>
      <w:szCs w:val="32"/>
    </w:rPr>
  </w:style>
  <w:style w:type="character" w:default="1" w:styleId="Standardnpsmoodstavce">
    <w:name w:val="Default Paragraph Font"/>
    <w:semiHidden/>
  </w:style>
  <w:style w:type="table" w:default="1" w:styleId="Normlntabulka">
    <w:name w:val="Normal Table"/>
    <w:semiHidden/>
    <w:tblPr>
      <w:tblInd w:w="0" w:type="dxa"/>
      <w:tblCellMar>
        <w:top w:w="0" w:type="dxa"/>
        <w:left w:w="108" w:type="dxa"/>
        <w:bottom w:w="0" w:type="dxa"/>
        <w:right w:w="108" w:type="dxa"/>
      </w:tblCellMar>
    </w:tblPr>
  </w:style>
  <w:style w:type="numbering" w:default="1" w:styleId="Bezseznamu">
    <w:name w:val="No List"/>
    <w:semiHidden/>
  </w:style>
  <w:style w:type="character" w:customStyle="1" w:styleId="Nadpis1Char">
    <w:name w:val="Nadpis 1 Char"/>
    <w:link w:val="Nadpis1"/>
    <w:rsid w:val="00CC090B"/>
    <w:rPr>
      <w:rFonts w:ascii="Calibri Light" w:eastAsia="Times New Roman" w:hAnsi="Calibri Light" w:cs="Times New Roman"/>
      <w:b/>
      <w:bCs/>
      <w:kern w:val="32"/>
      <w:sz w:val="32"/>
      <w:szCs w:val="32"/>
    </w:rPr>
  </w:style>
  <w:style w:type="paragraph" w:styleId="Nadpisobsahu">
    <w:name w:val="TOC Heading"/>
    <w:basedOn w:val="Nadpis1"/>
    <w:next w:val="Normln"/>
    <w:uiPriority w:val="39"/>
    <w:unhideWhenUsed/>
    <w:qFormat/>
    <w:rsid w:val="00CC090B"/>
    <w:pPr>
      <w:keepLines/>
      <w:spacing w:after="0" w:line="259" w:lineRule="auto"/>
      <w:outlineLvl w:val="9"/>
    </w:pPr>
    <w:rPr>
      <w:b w:val="0"/>
      <w:bCs w:val="0"/>
      <w:color w:val="2F5496"/>
      <w:kern w:val="0"/>
    </w:rPr>
  </w:style>
  <w:style w:type="paragraph" w:styleId="Obsah2">
    <w:name w:val="toc 2"/>
    <w:basedOn w:val="Normln"/>
    <w:next w:val="Normln"/>
    <w:autoRedefine/>
    <w:uiPriority w:val="39"/>
    <w:unhideWhenUsed/>
    <w:qFormat/>
    <w:rsid w:val="00CC090B"/>
    <w:pPr>
      <w:spacing w:after="100" w:line="259" w:lineRule="auto"/>
      <w:ind w:left="220"/>
    </w:pPr>
    <w:rPr>
      <w:rFonts w:ascii="Calibri" w:hAnsi="Calibri"/>
      <w:sz w:val="22"/>
      <w:szCs w:val="22"/>
    </w:rPr>
  </w:style>
  <w:style w:type="paragraph" w:styleId="Obsah1">
    <w:name w:val="toc 1"/>
    <w:basedOn w:val="Normln"/>
    <w:next w:val="Normln"/>
    <w:autoRedefine/>
    <w:uiPriority w:val="39"/>
    <w:unhideWhenUsed/>
    <w:qFormat/>
    <w:rsid w:val="00CC090B"/>
    <w:pPr>
      <w:spacing w:after="100" w:line="259" w:lineRule="auto"/>
    </w:pPr>
    <w:rPr>
      <w:rFonts w:ascii="Calibri" w:hAnsi="Calibri"/>
      <w:sz w:val="22"/>
      <w:szCs w:val="22"/>
    </w:rPr>
  </w:style>
  <w:style w:type="paragraph" w:styleId="Obsah3">
    <w:name w:val="toc 3"/>
    <w:basedOn w:val="Normln"/>
    <w:next w:val="Normln"/>
    <w:autoRedefine/>
    <w:uiPriority w:val="39"/>
    <w:unhideWhenUsed/>
    <w:qFormat/>
    <w:rsid w:val="00CC090B"/>
    <w:pPr>
      <w:spacing w:after="100" w:line="259" w:lineRule="auto"/>
      <w:ind w:left="440"/>
    </w:pPr>
    <w:rPr>
      <w:rFonts w:ascii="Calibri" w:hAnsi="Calibri"/>
      <w:sz w:val="22"/>
      <w:szCs w:val="22"/>
    </w:rPr>
  </w:style>
  <w:style w:type="paragraph" w:styleId="Zhlav">
    <w:name w:val="header"/>
    <w:basedOn w:val="Normln"/>
    <w:link w:val="ZhlavChar"/>
    <w:rsid w:val="00104F68"/>
    <w:pPr>
      <w:tabs>
        <w:tab w:val="center" w:pos="4536"/>
        <w:tab w:val="right" w:pos="9072"/>
      </w:tabs>
    </w:pPr>
  </w:style>
  <w:style w:type="character" w:customStyle="1" w:styleId="ZhlavChar">
    <w:name w:val="Záhlaví Char"/>
    <w:link w:val="Zhlav"/>
    <w:rsid w:val="00104F68"/>
    <w:rPr>
      <w:sz w:val="24"/>
      <w:szCs w:val="24"/>
    </w:rPr>
  </w:style>
  <w:style w:type="paragraph" w:styleId="Zpat">
    <w:name w:val="footer"/>
    <w:basedOn w:val="Normln"/>
    <w:link w:val="ZpatChar"/>
    <w:uiPriority w:val="99"/>
    <w:rsid w:val="00104F68"/>
    <w:pPr>
      <w:tabs>
        <w:tab w:val="center" w:pos="4536"/>
        <w:tab w:val="right" w:pos="9072"/>
      </w:tabs>
    </w:pPr>
  </w:style>
  <w:style w:type="character" w:customStyle="1" w:styleId="ZpatChar">
    <w:name w:val="Zápatí Char"/>
    <w:link w:val="Zpat"/>
    <w:uiPriority w:val="99"/>
    <w:rsid w:val="00104F68"/>
    <w:rPr>
      <w:sz w:val="24"/>
      <w:szCs w:val="24"/>
    </w:rPr>
  </w:style>
  <w:style w:type="character" w:styleId="Hypertextovodkaz">
    <w:name w:val="Hyperlink"/>
    <w:uiPriority w:val="99"/>
    <w:rsid w:val="00F74781"/>
    <w:rPr>
      <w:color w:val="0563C1"/>
      <w:u w:val="single"/>
    </w:rPr>
  </w:style>
  <w:style w:type="character" w:customStyle="1" w:styleId="Nevyrieenzmienka">
    <w:name w:val="Nevyriešená zmienka"/>
    <w:uiPriority w:val="99"/>
    <w:semiHidden/>
    <w:unhideWhenUsed/>
    <w:rsid w:val="00F74781"/>
    <w:rPr>
      <w:color w:val="605E5C"/>
      <w:shd w:val="clear" w:color="auto" w:fill="E1DFDD"/>
    </w:rPr>
  </w:style>
  <w:style w:type="table" w:styleId="Mkatabulky">
    <w:name w:val="Table Grid"/>
    <w:basedOn w:val="Normlntabulka"/>
    <w:rsid w:val="007925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bubliny">
    <w:name w:val="Balloon Text"/>
    <w:basedOn w:val="Normln"/>
    <w:link w:val="TextbublinyChar"/>
    <w:rsid w:val="00AD3090"/>
    <w:rPr>
      <w:rFonts w:ascii="Tahoma" w:hAnsi="Tahoma" w:cs="Tahoma"/>
      <w:sz w:val="16"/>
      <w:szCs w:val="16"/>
    </w:rPr>
  </w:style>
  <w:style w:type="character" w:customStyle="1" w:styleId="TextbublinyChar">
    <w:name w:val="Text bubliny Char"/>
    <w:link w:val="Textbubliny"/>
    <w:rsid w:val="00AD3090"/>
    <w:rPr>
      <w:rFonts w:ascii="Tahoma" w:hAnsi="Tahoma" w:cs="Tahoma"/>
      <w:sz w:val="16"/>
      <w:szCs w:val="16"/>
    </w:rPr>
  </w:style>
  <w:style w:type="table" w:styleId="Barevntabulka1">
    <w:name w:val="Table Colorful 1"/>
    <w:basedOn w:val="Normlntabulka"/>
    <w:rsid w:val="00A16666"/>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Barevntabulka2">
    <w:name w:val="Table Colorful 2"/>
    <w:basedOn w:val="Normlntabulka"/>
    <w:rsid w:val="00A16666"/>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paragraph" w:styleId="Nzev">
    <w:name w:val="Title"/>
    <w:basedOn w:val="Normln"/>
    <w:next w:val="Normln"/>
    <w:link w:val="NzevChar"/>
    <w:qFormat/>
    <w:rsid w:val="003E09DF"/>
    <w:pPr>
      <w:spacing w:before="240" w:after="60"/>
      <w:jc w:val="center"/>
      <w:outlineLvl w:val="0"/>
    </w:pPr>
    <w:rPr>
      <w:rFonts w:asciiTheme="majorHAnsi" w:eastAsiaTheme="majorEastAsia" w:hAnsiTheme="majorHAnsi" w:cstheme="majorBidi"/>
      <w:b/>
      <w:bCs/>
      <w:kern w:val="28"/>
      <w:sz w:val="32"/>
      <w:szCs w:val="32"/>
    </w:rPr>
  </w:style>
  <w:style w:type="character" w:customStyle="1" w:styleId="NzevChar">
    <w:name w:val="Název Char"/>
    <w:basedOn w:val="Standardnpsmoodstavce"/>
    <w:link w:val="Nzev"/>
    <w:rsid w:val="003E09DF"/>
    <w:rPr>
      <w:rFonts w:asciiTheme="majorHAnsi" w:eastAsiaTheme="majorEastAsia" w:hAnsiTheme="majorHAnsi" w:cstheme="majorBidi"/>
      <w:b/>
      <w:bCs/>
      <w:kern w:val="28"/>
      <w:sz w:val="32"/>
      <w:szCs w:val="32"/>
    </w:rPr>
  </w:style>
  <w:style w:type="paragraph" w:styleId="Textpoznpodarou">
    <w:name w:val="footnote text"/>
    <w:basedOn w:val="Normln"/>
    <w:link w:val="TextpoznpodarouChar"/>
    <w:rsid w:val="00645872"/>
    <w:rPr>
      <w:sz w:val="20"/>
      <w:szCs w:val="20"/>
    </w:rPr>
  </w:style>
  <w:style w:type="character" w:customStyle="1" w:styleId="TextpoznpodarouChar">
    <w:name w:val="Text pozn. pod čarou Char"/>
    <w:basedOn w:val="Standardnpsmoodstavce"/>
    <w:link w:val="Textpoznpodarou"/>
    <w:rsid w:val="00645872"/>
  </w:style>
  <w:style w:type="character" w:styleId="Znakapoznpodarou">
    <w:name w:val="footnote reference"/>
    <w:basedOn w:val="Standardnpsmoodstavce"/>
    <w:rsid w:val="0064587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8554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unilabs.sk/na-stiahnutie"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1000knih.sk/obchod/e-knihy-zadarmo-free-e-books/skripta-ucebnice"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ulozto.cz/" TargetMode="External"/><Relationship Id="rId5" Type="http://schemas.openxmlformats.org/officeDocument/2006/relationships/settings" Target="settings.xml"/><Relationship Id="rId15" Type="http://schemas.openxmlformats.org/officeDocument/2006/relationships/hyperlink" Target="http://lf1.cz/materialy-ke-stazeni/" TargetMode="External"/><Relationship Id="rId10" Type="http://schemas.openxmlformats.org/officeDocument/2006/relationships/hyperlink" Target="https://uloz.to/"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fns.uniba.sk/skriptanakfg/" TargetMode="External"/></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AFB889-1B57-4D0D-8CF1-BD30E2AAE5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3780</Words>
  <Characters>21549</Characters>
  <Application>Microsoft Office Word</Application>
  <DocSecurity>0</DocSecurity>
  <Lines>179</Lines>
  <Paragraphs>50</Paragraphs>
  <ScaleCrop>false</ScaleCrop>
  <HeadingPairs>
    <vt:vector size="4" baseType="variant">
      <vt:variant>
        <vt:lpstr>Název</vt:lpstr>
      </vt:variant>
      <vt:variant>
        <vt:i4>1</vt:i4>
      </vt:variant>
      <vt:variant>
        <vt:lpstr>Názov</vt:lpstr>
      </vt:variant>
      <vt:variant>
        <vt:i4>1</vt:i4>
      </vt:variant>
    </vt:vector>
  </HeadingPairs>
  <TitlesOfParts>
    <vt:vector size="2" baseType="lpstr">
      <vt:lpstr>PREŠOVSKÁ UNIVERZITA V PREŠOVE</vt:lpstr>
      <vt:lpstr>PREŠOVSKÁ UNIVERZITA V PREŠOVE</vt:lpstr>
    </vt:vector>
  </TitlesOfParts>
  <Company/>
  <LinksUpToDate>false</LinksUpToDate>
  <CharactersWithSpaces>25279</CharactersWithSpaces>
  <SharedDoc>false</SharedDoc>
  <HLinks>
    <vt:vector size="42" baseType="variant">
      <vt:variant>
        <vt:i4>1572916</vt:i4>
      </vt:variant>
      <vt:variant>
        <vt:i4>38</vt:i4>
      </vt:variant>
      <vt:variant>
        <vt:i4>0</vt:i4>
      </vt:variant>
      <vt:variant>
        <vt:i4>5</vt:i4>
      </vt:variant>
      <vt:variant>
        <vt:lpwstr/>
      </vt:variant>
      <vt:variant>
        <vt:lpwstr>_Toc66467916</vt:lpwstr>
      </vt:variant>
      <vt:variant>
        <vt:i4>1769524</vt:i4>
      </vt:variant>
      <vt:variant>
        <vt:i4>32</vt:i4>
      </vt:variant>
      <vt:variant>
        <vt:i4>0</vt:i4>
      </vt:variant>
      <vt:variant>
        <vt:i4>5</vt:i4>
      </vt:variant>
      <vt:variant>
        <vt:lpwstr/>
      </vt:variant>
      <vt:variant>
        <vt:lpwstr>_Toc66467915</vt:lpwstr>
      </vt:variant>
      <vt:variant>
        <vt:i4>1703988</vt:i4>
      </vt:variant>
      <vt:variant>
        <vt:i4>26</vt:i4>
      </vt:variant>
      <vt:variant>
        <vt:i4>0</vt:i4>
      </vt:variant>
      <vt:variant>
        <vt:i4>5</vt:i4>
      </vt:variant>
      <vt:variant>
        <vt:lpwstr/>
      </vt:variant>
      <vt:variant>
        <vt:lpwstr>_Toc66467914</vt:lpwstr>
      </vt:variant>
      <vt:variant>
        <vt:i4>1900596</vt:i4>
      </vt:variant>
      <vt:variant>
        <vt:i4>20</vt:i4>
      </vt:variant>
      <vt:variant>
        <vt:i4>0</vt:i4>
      </vt:variant>
      <vt:variant>
        <vt:i4>5</vt:i4>
      </vt:variant>
      <vt:variant>
        <vt:lpwstr/>
      </vt:variant>
      <vt:variant>
        <vt:lpwstr>_Toc66467913</vt:lpwstr>
      </vt:variant>
      <vt:variant>
        <vt:i4>1835060</vt:i4>
      </vt:variant>
      <vt:variant>
        <vt:i4>14</vt:i4>
      </vt:variant>
      <vt:variant>
        <vt:i4>0</vt:i4>
      </vt:variant>
      <vt:variant>
        <vt:i4>5</vt:i4>
      </vt:variant>
      <vt:variant>
        <vt:lpwstr/>
      </vt:variant>
      <vt:variant>
        <vt:lpwstr>_Toc66467912</vt:lpwstr>
      </vt:variant>
      <vt:variant>
        <vt:i4>2031668</vt:i4>
      </vt:variant>
      <vt:variant>
        <vt:i4>8</vt:i4>
      </vt:variant>
      <vt:variant>
        <vt:i4>0</vt:i4>
      </vt:variant>
      <vt:variant>
        <vt:i4>5</vt:i4>
      </vt:variant>
      <vt:variant>
        <vt:lpwstr/>
      </vt:variant>
      <vt:variant>
        <vt:lpwstr>_Toc66467911</vt:lpwstr>
      </vt:variant>
      <vt:variant>
        <vt:i4>1966132</vt:i4>
      </vt:variant>
      <vt:variant>
        <vt:i4>2</vt:i4>
      </vt:variant>
      <vt:variant>
        <vt:i4>0</vt:i4>
      </vt:variant>
      <vt:variant>
        <vt:i4>5</vt:i4>
      </vt:variant>
      <vt:variant>
        <vt:lpwstr/>
      </vt:variant>
      <vt:variant>
        <vt:lpwstr>_Toc66467910</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PREŠOVSKÁ UNIVERZITA V PREŠOVE</dc:title>
  <dc:creator>ALENKA</dc:creator>
  <cp:lastModifiedBy>Používateľ systému Windows</cp:lastModifiedBy>
  <cp:revision>2</cp:revision>
  <cp:lastPrinted>2006-11-20T10:46:00Z</cp:lastPrinted>
  <dcterms:created xsi:type="dcterms:W3CDTF">2021-03-14T18:32:00Z</dcterms:created>
  <dcterms:modified xsi:type="dcterms:W3CDTF">2021-03-14T18:32:00Z</dcterms:modified>
</cp:coreProperties>
</file>