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1"/>
        <w:tblpPr w:leftFromText="180" w:rightFromText="180" w:vertAnchor="text" w:horzAnchor="page" w:tblpX="1" w:tblpY="182"/>
        <w:tblW w:w="11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5"/>
        <w:gridCol w:w="2045"/>
        <w:gridCol w:w="2045"/>
        <w:gridCol w:w="5772"/>
      </w:tblGrid>
      <w:tr>
        <w:trPr>
          <w:trHeight w:val="268"/>
        </w:trPr>
        <w:tc>
          <w:tcPr>
            <w:tcW w:w="2045" w:type="dxa"/>
            <w:shd w:val="clear" w:color="auto" w:fill="C2D69B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  <w:bookmarkStart w:id="0" w:name="_Toc390942110"/>
          </w:p>
        </w:tc>
        <w:tc>
          <w:tcPr>
            <w:tcW w:w="2045" w:type="dxa"/>
            <w:shd w:val="clear" w:color="auto" w:fill="D99594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045" w:type="dxa"/>
            <w:shd w:val="clear" w:color="auto" w:fill="FABF8F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772" w:type="dxa"/>
            <w:shd w:val="clear" w:color="auto" w:fill="95B3D7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</w:tr>
    </w:tbl>
    <w:p>
      <w:pPr>
        <w:pStyle w:val="Nadpis1"/>
        <w:spacing w:after="240"/>
        <w:rPr>
          <w:rFonts w:asciiTheme="minorHAnsi" w:hAnsiTheme="minorHAnsi"/>
          <w:sz w:val="32"/>
        </w:rPr>
      </w:pPr>
    </w:p>
    <w:p>
      <w:pPr>
        <w:pStyle w:val="Nadpis1"/>
        <w:spacing w:after="240"/>
        <w:rPr>
          <w:rFonts w:asciiTheme="minorHAnsi" w:hAnsiTheme="minorHAnsi"/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-396240</wp:posOffset>
                </wp:positionV>
                <wp:extent cx="4493260" cy="463550"/>
                <wp:effectExtent l="0" t="0" r="0" b="0"/>
                <wp:wrapNone/>
                <wp:docPr id="12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493260" cy="4635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lnywebov"/>
                              <w:spacing w:before="0" w:beforeAutospacing="0" w:after="0" w:afterAutospacing="0"/>
                              <w:rPr>
                                <w:rFonts w:asciiTheme="minorHAnsi" w:hAnsiTheme="minorHAnsi" w:cs="Segoe UI"/>
                                <w:color w:val="000000" w:themeColor="text1"/>
                                <w:sz w:val="18"/>
                                <w:lang w:val="sk-SK"/>
                              </w:rPr>
                            </w:pPr>
                            <w:r>
                              <w:rPr>
                                <w:rFonts w:asciiTheme="minorHAnsi" w:hAnsiTheme="minorHAnsi" w:cs="Segoe UI"/>
                                <w:color w:val="000000" w:themeColor="text1"/>
                                <w:sz w:val="48"/>
                                <w:szCs w:val="72"/>
                                <w:lang w:val="sk-SK"/>
                              </w:rPr>
                              <w:t>ZÁVEREČNÁ SPRÁVA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3DCEF1B0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4.8pt;margin-top:-31.2pt;width:353.8pt;height:3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" filled="f" stroked="f">
                <v:stroke joinstyle="round"/>
                <o:lock v:ext="edit" shapetype="t"/>
                <v:textbox style="mso-fit-shape-to-text:t">
                  <w:txbxContent>
                    <w:p w14:paraId="2E72012C" w14:textId="77777777" w:rsidR="00187173" w:rsidRPr="0050386E" w:rsidRDefault="00187173" w:rsidP="00187173">
                      <w:pPr>
                        <w:pStyle w:val="Normlnweb"/>
                        <w:spacing w:before="0" w:beforeAutospacing="0" w:after="0" w:afterAutospacing="0"/>
                        <w:rPr>
                          <w:rFonts w:asciiTheme="minorHAnsi" w:hAnsiTheme="minorHAnsi" w:cs="Segoe UI"/>
                          <w:color w:val="000000" w:themeColor="text1"/>
                          <w:sz w:val="18"/>
                          <w:lang w:val="sk-SK"/>
                        </w:rPr>
                      </w:pPr>
                      <w:r w:rsidRPr="0050386E"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>ZÁVEREČNÁ SPRÁVA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sz w:val="24"/>
          <w:szCs w:val="24"/>
        </w:rPr>
        <w:t>1. Identifikačné údaje</w:t>
      </w:r>
      <w:bookmarkEnd w:id="0"/>
    </w:p>
    <w:tbl>
      <w:tblPr>
        <w:tblStyle w:val="Mriekatabu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>
        <w:trPr>
          <w:trHeight w:val="487"/>
        </w:trPr>
        <w:tc>
          <w:tcPr>
            <w:tcW w:w="2500" w:type="pct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Klient</w:t>
            </w:r>
          </w:p>
        </w:tc>
        <w:tc>
          <w:tcPr>
            <w:tcW w:w="2500" w:type="pct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Poradca</w:t>
            </w:r>
            <w:r>
              <w:rPr>
                <w:sz w:val="24"/>
                <w:szCs w:val="24"/>
              </w:rPr>
              <w:t>:</w:t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</w:rPr>
            </w:pPr>
            <w:r>
              <w:rPr>
                <w:sz w:val="24"/>
                <w:szCs w:val="24"/>
              </w:rPr>
              <w:t>Meno a priezvisko</w:t>
            </w:r>
            <w:r>
              <w:rPr>
                <w:sz w:val="20"/>
              </w:rPr>
              <w:t>:</w:t>
            </w:r>
            <w:r>
              <w:rPr>
                <w:sz w:val="24"/>
                <w:szCs w:val="24"/>
              </w:rPr>
              <w:t xml:space="preserve"> Klaudia </w:t>
            </w:r>
            <w:proofErr w:type="spellStart"/>
            <w:r>
              <w:rPr>
                <w:sz w:val="24"/>
                <w:szCs w:val="24"/>
              </w:rPr>
              <w:t>Bikarová</w:t>
            </w:r>
            <w:proofErr w:type="spellEnd"/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</w:tc>
        <w:tc>
          <w:tcPr>
            <w:tcW w:w="2500" w:type="pct"/>
          </w:tcPr>
          <w:p>
            <w:pPr>
              <w:rPr>
                <w:sz w:val="20"/>
              </w:rPr>
            </w:pPr>
            <w:r>
              <w:rPr>
                <w:sz w:val="24"/>
                <w:szCs w:val="24"/>
              </w:rPr>
              <w:t>Meno a priezvisko</w:t>
            </w:r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PaedDr.Miroslav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Schvarcz</w:t>
            </w:r>
            <w:proofErr w:type="spellEnd"/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Podpis:</w:t>
            </w:r>
          </w:p>
        </w:tc>
        <w:tc>
          <w:tcPr>
            <w:tcW w:w="2500" w:type="pct"/>
          </w:tcPr>
          <w:p>
            <w:pPr>
              <w:rPr>
                <w:sz w:val="20"/>
                <w:u w:val="single"/>
              </w:rPr>
            </w:pPr>
            <w:r>
              <w:rPr>
                <w:sz w:val="24"/>
                <w:szCs w:val="24"/>
              </w:rPr>
              <w:t>Podpis</w:t>
            </w:r>
            <w:r>
              <w:rPr>
                <w:sz w:val="20"/>
              </w:rPr>
              <w:t>:</w:t>
            </w:r>
          </w:p>
        </w:tc>
      </w:tr>
    </w:tbl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Dátum vyhotovenia záverečnej správy</w:t>
      </w:r>
      <w:r>
        <w:rPr>
          <w:sz w:val="20"/>
        </w:rPr>
        <w:t xml:space="preserve">: </w:t>
      </w:r>
      <w:r>
        <w:rPr>
          <w:sz w:val="24"/>
          <w:szCs w:val="24"/>
        </w:rPr>
        <w:t>29.7.2019</w:t>
      </w:r>
    </w:p>
    <w:p>
      <w:pPr>
        <w:spacing w:after="0"/>
        <w:rPr>
          <w:sz w:val="20"/>
        </w:rPr>
      </w:pPr>
    </w:p>
    <w:p>
      <w:pPr>
        <w:spacing w:after="0"/>
        <w:rPr>
          <w:rFonts w:eastAsiaTheme="majorEastAsia" w:cstheme="majorBidi"/>
          <w:b/>
          <w:bCs/>
          <w:sz w:val="24"/>
          <w:szCs w:val="24"/>
        </w:rPr>
      </w:pPr>
      <w:r>
        <w:rPr>
          <w:rFonts w:eastAsiaTheme="majorEastAsia" w:cstheme="majorBidi"/>
          <w:b/>
          <w:bCs/>
          <w:sz w:val="24"/>
          <w:szCs w:val="24"/>
        </w:rPr>
        <w:t>2. Priebeh a ciele bilancie kompetencií</w:t>
      </w:r>
    </w:p>
    <w:p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Bilancia kompetencií prebehla v období od 5.6.2019 do 14.8.2019  v rozsahu 38 hodín a boli pri nej použité nasledovné nástroje: </w:t>
      </w:r>
    </w:p>
    <w:p>
      <w:pPr>
        <w:jc w:val="both"/>
        <w:rPr>
          <w:sz w:val="18"/>
        </w:rPr>
      </w:pPr>
      <w:r>
        <w:rPr>
          <w:sz w:val="20"/>
          <w:szCs w:val="20"/>
        </w:rPr>
        <w:t xml:space="preserve">Kompetenčné portfólio, rozhovory s ľuďmi z praxe, osobnostné predpoklady B3, kľúčové kompetencie D4, moje zručnosti D3, nepoznané stránky osobnosti, </w:t>
      </w:r>
      <w:r>
        <w:rPr>
          <w:sz w:val="18"/>
        </w:rPr>
        <w:t xml:space="preserve">D1 – Skladanie kompetencií,  B4 . Osobná SWOT analýza ,   C7 – </w:t>
      </w:r>
      <w:proofErr w:type="spellStart"/>
      <w:r>
        <w:rPr>
          <w:sz w:val="18"/>
        </w:rPr>
        <w:t>Karierové</w:t>
      </w:r>
      <w:proofErr w:type="spellEnd"/>
      <w:r>
        <w:rPr>
          <w:sz w:val="18"/>
        </w:rPr>
        <w:t xml:space="preserve"> kotvy, B2 - Rob to čo najlepšie vieš – </w:t>
      </w:r>
      <w:proofErr w:type="spellStart"/>
      <w:r>
        <w:rPr>
          <w:sz w:val="18"/>
        </w:rPr>
        <w:t>Sabahodnotenie</w:t>
      </w:r>
      <w:proofErr w:type="spellEnd"/>
      <w:r>
        <w:rPr>
          <w:sz w:val="18"/>
        </w:rPr>
        <w:t xml:space="preserve">, , C10 – v akých </w:t>
      </w:r>
      <w:proofErr w:type="spellStart"/>
      <w:r>
        <w:rPr>
          <w:sz w:val="18"/>
        </w:rPr>
        <w:t>povolanich</w:t>
      </w:r>
      <w:proofErr w:type="spellEnd"/>
      <w:r>
        <w:rPr>
          <w:sz w:val="18"/>
        </w:rPr>
        <w:t xml:space="preserve"> sa môžem uplatniť, A5- Otázky na pracovný pohovor, Kariérny kvietok ,  Krivka života</w:t>
      </w:r>
    </w:p>
    <w:p>
      <w:pPr>
        <w:ind w:right="-1417"/>
        <w:jc w:val="both"/>
        <w:rPr>
          <w:sz w:val="20"/>
          <w:szCs w:val="20"/>
        </w:rPr>
      </w:pPr>
    </w:p>
    <w:p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Všetky aktivity smerovali k analýze nadobudnutých vedomostí a zručností klienta, ako aj jeho profesijných motivácií a osobnostných vlastností.</w:t>
      </w:r>
    </w:p>
    <w:p>
      <w:pPr>
        <w:spacing w:after="0" w:line="240" w:lineRule="auto"/>
        <w:jc w:val="both"/>
        <w:rPr>
          <w:sz w:val="20"/>
          <w:szCs w:val="20"/>
        </w:rPr>
      </w:pPr>
      <w:r>
        <w:rPr>
          <w:b/>
          <w:noProof/>
          <w:sz w:val="20"/>
          <w:szCs w:val="20"/>
          <w:lang w:eastAsia="sk-S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59055</wp:posOffset>
                </wp:positionH>
                <wp:positionV relativeFrom="paragraph">
                  <wp:posOffset>474980</wp:posOffset>
                </wp:positionV>
                <wp:extent cx="6829425" cy="20859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Pri vstupe do bilancie kompetencií  ste bola v evidencii uchádzačov o zamestnanie  od 29.1.2018, mala ste štatút znevýhodnenie z hľadiska dĺžky evidencie. Ide o Vašu opakovanú (ôsmu) skúsenosť s obdobím   nezamestnanosti. Máte stredné odborné vzdelanie - opatrovateľská starostlivosť v zariadeniach sociálnej starostlivosti a v zdravotníckych zariadeniach. Pracovnú skúsenosť v tomto odbore máte iba krátkodobú cca 4 mesiace.  Ďalej mate pracovnú skúsenosť  s prácou v zahraničí (Anglicko)  v profesii – montážny pracovník.</w:t>
                            </w:r>
                          </w:p>
                          <w:p>
                            <w:pPr>
                              <w:jc w:val="both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</w:rPr>
                              <w:t>Na základe uvedených informácií  by ste chcela nájsť – stanoviť si  cielené zamestnanie,  v ktorých by bola reálna možnosť zamestnať  sa.  Vyjadrili ste potrebu podpory v konkrétnych krokoch  a to vedieť pomenovať svoje vlastnosti, zručnosti – poznať ich využitie v pracovnej oblasti. Naučiť sa  písomne a osobne  prezentovať u zamestnávateľov, vedieť sa prispôsobovať trhu práce.  Pomoc s vypracovaním životopisu a žiadostí o prijatie do zamestnania. Ako aj pomoc  pri orientácií na regionálnom trhu práce.</w:t>
                            </w:r>
                          </w:p>
                          <w:p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4.65pt;margin-top:37.4pt;width:537.75pt;height:16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">
                <v:textbox>
                  <w:txbxContent>
                    <w:p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Pri vstupe do bilancie kompetencií  ste bola v evidencii uchádzačov o zamestnanie  od 2</w:t>
                      </w:r>
                      <w:r>
                        <w:rPr>
                          <w:i/>
                        </w:rPr>
                        <w:t>9</w:t>
                      </w:r>
                      <w:r>
                        <w:rPr>
                          <w:i/>
                        </w:rPr>
                        <w:t>.</w:t>
                      </w:r>
                      <w:r>
                        <w:rPr>
                          <w:i/>
                        </w:rPr>
                        <w:t>1</w:t>
                      </w:r>
                      <w:r>
                        <w:rPr>
                          <w:i/>
                        </w:rPr>
                        <w:t>.201</w:t>
                      </w:r>
                      <w:r>
                        <w:rPr>
                          <w:i/>
                        </w:rPr>
                        <w:t>8</w:t>
                      </w:r>
                      <w:r>
                        <w:rPr>
                          <w:i/>
                        </w:rPr>
                        <w:t>, mala ste štatút znevýhodnenie z hľadiska dĺžky evidencie. Ide o Vašu opakovanú</w:t>
                      </w:r>
                      <w:r>
                        <w:rPr>
                          <w:i/>
                        </w:rPr>
                        <w:t xml:space="preserve"> (ôsmu)</w:t>
                      </w:r>
                      <w:r>
                        <w:rPr>
                          <w:i/>
                        </w:rPr>
                        <w:t xml:space="preserve"> skúsenosť s obdobím   nezamestnanosti. Máte </w:t>
                      </w:r>
                      <w:r>
                        <w:rPr>
                          <w:i/>
                        </w:rPr>
                        <w:t>stredné odborné vzdelanie - opatrovateľská starostlivosť v zariadeniach sociálnej starostlivosti a v zdravotníckych zariadeniach</w:t>
                      </w:r>
                      <w:r>
                        <w:rPr>
                          <w:i/>
                        </w:rPr>
                        <w:t>.</w:t>
                      </w:r>
                      <w:r>
                        <w:rPr>
                          <w:i/>
                        </w:rPr>
                        <w:t xml:space="preserve"> Pracovnú skúsenosť v tomto odbore máte iba krátkodobú cca 4 mesiace. </w:t>
                      </w:r>
                      <w:r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Ďalej mate pracovnú skúsenosť  s prácou v zahraničí (Anglicko)  v profesii – montážny pracovník.</w:t>
                      </w:r>
                    </w:p>
                    <w:p>
                      <w:pPr>
                        <w:jc w:val="both"/>
                        <w:rPr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i/>
                        </w:rPr>
                        <w:t xml:space="preserve">Na základe uvedených informácií  by ste chcela nájsť – stanoviť si  cielené zamestnanie,  v ktorých by bola reálna možnosť zamestnať  sa.  Vyjadrili ste potrebu podpory v konkrétnych krokoch  a to vedieť pomenovať svoje vlastnosti, zručnosti – poznať ich využitie v pracovnej oblasti. Naučiť sa  písomne a osobne  prezentovať u zamestnávateľov, vedieť sa prispôsobovať trhu práce. </w:t>
                      </w:r>
                      <w:r>
                        <w:rPr>
                          <w:i/>
                        </w:rPr>
                        <w:t xml:space="preserve"> Pomoc s vypracovaním životopisu a žiadostí o prijatie do zamestnania. Ako aj pomoc  pri orientácií na regionálnom trhu práce.</w:t>
                      </w:r>
                    </w:p>
                    <w:p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0"/>
          <w:szCs w:val="20"/>
        </w:rPr>
        <w:t>Bilancia kompetencií bola prispôsobená nasledovným očakávaniam a vyjadreným potrebám.</w:t>
      </w:r>
    </w:p>
    <w:p>
      <w:pPr>
        <w:pStyle w:val="Nadpis1"/>
        <w:spacing w:before="240" w:after="0"/>
        <w:rPr>
          <w:rFonts w:asciiTheme="minorHAnsi" w:eastAsia="Arial" w:hAnsiTheme="minorHAnsi"/>
          <w:sz w:val="24"/>
          <w:szCs w:val="24"/>
        </w:rPr>
      </w:pPr>
      <w:bookmarkStart w:id="1" w:name="_Toc390942113"/>
    </w:p>
    <w:p/>
    <w:p>
      <w:pPr>
        <w:pStyle w:val="Nadpis1"/>
        <w:spacing w:before="240" w:after="0"/>
        <w:rPr>
          <w:rFonts w:asciiTheme="minorHAnsi" w:eastAsia="Arial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lastRenderedPageBreak/>
        <w:t>3.Motivácia</w:t>
      </w:r>
    </w:p>
    <w:p>
      <w:pPr>
        <w:jc w:val="both"/>
      </w:pPr>
      <w:r>
        <w:t xml:space="preserve">Na základe vypracovaného portfólia  a výsledkov dotazníkov a testov vypracovaných v rámci bilancie kompetencie ste uviedla, že medzi Vaše  odborné kompetencie  patrí:     poznanie metód  poskytovania starostlivosti o deti, starých občanov a o zdravotne postihnutých,  poskytovanie   hygienickej starostlivosti , pripravovanie, dávkovanie.   K Vaším ďalším zručnostiam patria:  montovanie, skladanie, triedenie, kontrolovanie, ukladanie, vykonávanie úkonov v  správnom poradí. Chcela by ste, aby Vám Vaše budúce zamestnanie poskytovalo pocit stability a priestor na zaškolenie.   Máte záujem o prácu, ktorá by bola v mieste bydliska.  Pri stanovení cieľového povolania ste vychádzala  zo svojich zručností ale aj z osobnostných vlastností, ktoré sú   prispôsobivosť, trpezlivosť,  kolektívnosť,  ochota pomáhať,  komunikatívnosť.   Po zvážení a vyhodnotení svojich kompetencií  ste si za 1. cielené zamestnanie  stanovila: </w:t>
      </w:r>
      <w:r>
        <w:rPr>
          <w:b/>
          <w:i/>
        </w:rPr>
        <w:t xml:space="preserve"> ošetrovateľka </w:t>
      </w:r>
      <w:r>
        <w:t xml:space="preserve">ako 2. cielené povolanie ste označila: </w:t>
      </w:r>
      <w:r>
        <w:rPr>
          <w:b/>
          <w:i/>
        </w:rPr>
        <w:t>montážny pracovník</w:t>
      </w:r>
      <w:r>
        <w:rPr>
          <w:b/>
        </w:rPr>
        <w:t xml:space="preserve">. </w:t>
      </w:r>
      <w:r>
        <w:t>Ďalej uvádzate, že ste naklonená aj možnosti ďalšieho vzdelávania.</w:t>
      </w:r>
    </w:p>
    <w:p>
      <w:pPr>
        <w:pStyle w:val="Nadpis1"/>
        <w:spacing w:before="240" w:after="0"/>
        <w:rPr>
          <w:rFonts w:asciiTheme="minorHAnsi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t xml:space="preserve">4. </w:t>
      </w:r>
      <w:bookmarkEnd w:id="1"/>
      <w:r>
        <w:rPr>
          <w:rFonts w:asciiTheme="minorHAnsi" w:eastAsia="Arial" w:hAnsiTheme="minorHAnsi"/>
          <w:sz w:val="24"/>
          <w:szCs w:val="24"/>
        </w:rPr>
        <w:t>Cielené povolania</w:t>
      </w:r>
    </w:p>
    <w:p>
      <w:pPr>
        <w:spacing w:after="0"/>
        <w:rPr>
          <w:rFonts w:eastAsia="Arial" w:cs="Arial"/>
          <w:b/>
          <w:sz w:val="20"/>
        </w:rPr>
      </w:pPr>
      <w:r>
        <w:rPr>
          <w:rFonts w:eastAsia="Arial" w:cs="Arial"/>
          <w:b/>
          <w:sz w:val="24"/>
          <w:szCs w:val="24"/>
        </w:rPr>
        <w:t>Analýza získaných vedomostí, zručností a predpokladov</w:t>
      </w:r>
      <w:r>
        <w:rPr>
          <w:rFonts w:eastAsia="Arial" w:cs="Arial"/>
          <w:b/>
          <w:sz w:val="20"/>
        </w:rPr>
        <w:t>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961"/>
        <w:gridCol w:w="3447"/>
        <w:gridCol w:w="3447"/>
      </w:tblGrid>
      <w:tr>
        <w:trPr>
          <w:trHeight w:val="121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4"/>
                <w:szCs w:val="24"/>
              </w:rPr>
            </w:pPr>
            <w:bookmarkStart w:id="2" w:name="_Toc390942116"/>
            <w:r>
              <w:rPr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1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2</w:t>
            </w:r>
          </w:p>
        </w:tc>
      </w:tr>
      <w:tr>
        <w:trPr>
          <w:trHeight w:val="436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Názov (povolanie/zamestnanie)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ošetrovateľka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Montážny pracovník </w:t>
            </w:r>
          </w:p>
        </w:tc>
      </w:tr>
      <w:tr>
        <w:trPr>
          <w:trHeight w:val="172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Nadobudnuté odborné vedomosti a zručnosti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poznanie metód  poskytovania starostlivosti o deti, starých občanov a o zdravotne postihnutých,  poskytovanie   hygienickej starostlivosti,</w:t>
            </w:r>
          </w:p>
          <w:p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pripravovanie, dávkovanie,  zdravotníckych pomôcok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montovanie, skladanie, triedenie, kontrolovanie, ukladanie., vykonávanie úkonov v  správnom poradí</w:t>
            </w:r>
          </w:p>
        </w:tc>
      </w:tr>
      <w:tr>
        <w:trPr>
          <w:trHeight w:val="143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Osobnostné predpoklady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prispôsobivosť, trpezlivosť,  kolektívnosť,  ochota pomáhať,  komunikatívnosť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prispôsobivosť, trpezlivosť,  kolektívnosť,  ochota pomáhať,  komunikatívnosť</w:t>
            </w:r>
          </w:p>
        </w:tc>
      </w:tr>
      <w:tr>
        <w:trPr>
          <w:trHeight w:val="143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Vedomosti a zručnosti potrebné nadobudnúť, prekážky...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ind w:firstLine="708"/>
              <w:rPr>
                <w:sz w:val="20"/>
                <w:szCs w:val="20"/>
              </w:rPr>
            </w:pP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Prekážka: </w:t>
            </w: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Krátkodobá prax , potreba nadobudnutia praxe </w:t>
            </w: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Zvýšiť vzdialenosť  pracovnej  mobility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Doplniť RK: Operátor výroby </w:t>
            </w:r>
          </w:p>
          <w:p>
            <w:pPr>
              <w:spacing w:after="60"/>
              <w:rPr>
                <w:sz w:val="20"/>
                <w:szCs w:val="20"/>
              </w:rPr>
            </w:pPr>
          </w:p>
          <w:p>
            <w:pPr>
              <w:spacing w:after="60"/>
              <w:rPr>
                <w:sz w:val="20"/>
                <w:szCs w:val="20"/>
              </w:rPr>
            </w:pP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Pracovná mobilita</w:t>
            </w: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Zvýšiť vzdialenosť  pracovnej  mobility</w:t>
            </w:r>
          </w:p>
        </w:tc>
      </w:tr>
    </w:tbl>
    <w:p>
      <w:pPr>
        <w:pStyle w:val="Nadpis1"/>
        <w:spacing w:before="240" w:after="120"/>
        <w:ind w:right="-307"/>
        <w:rPr>
          <w:rFonts w:ascii="Calibri" w:hAnsi="Calibri"/>
          <w:sz w:val="24"/>
          <w:szCs w:val="24"/>
        </w:rPr>
      </w:pPr>
      <w:bookmarkStart w:id="3" w:name="_Toc390942114"/>
    </w:p>
    <w:p/>
    <w:p/>
    <w:p>
      <w:pPr>
        <w:pStyle w:val="Nadpis1"/>
        <w:spacing w:before="240" w:after="120"/>
        <w:ind w:right="-30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5. Situácia na trhu práce</w:t>
      </w:r>
      <w:bookmarkEnd w:id="3"/>
      <w:r>
        <w:rPr>
          <w:rFonts w:ascii="Calibri" w:hAnsi="Calibri"/>
          <w:sz w:val="24"/>
          <w:szCs w:val="24"/>
        </w:rPr>
        <w:t xml:space="preserve">  </w:t>
      </w:r>
    </w:p>
    <w:p>
      <w:pPr>
        <w:spacing w:after="0"/>
        <w:rPr>
          <w:rStyle w:val="Hypertextovprepojenie"/>
          <w:rFonts w:eastAsia="Arial" w:cs="Arial"/>
          <w:szCs w:val="24"/>
        </w:rPr>
      </w:pP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395"/>
        <w:gridCol w:w="3731"/>
        <w:gridCol w:w="3729"/>
      </w:tblGrid>
      <w:tr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1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2</w:t>
            </w:r>
          </w:p>
        </w:tc>
      </w:tr>
      <w:tr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IDEA DSS Prakovce</w:t>
            </w:r>
          </w:p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Zariadenie opatrovateľskej služby Prakovce</w:t>
            </w:r>
          </w:p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Domov Dôchodcov Nálepkovo</w:t>
            </w:r>
          </w:p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 VITAE – nemocnica s poliklinikou Gelnica</w:t>
            </w:r>
          </w:p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 opatrovateľskej služby Gelnica</w:t>
            </w:r>
          </w:p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 Charity Gelnica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Klauke</w:t>
            </w:r>
            <w:proofErr w:type="spellEnd"/>
            <w:r>
              <w:rPr>
                <w:sz w:val="20"/>
                <w:szCs w:val="20"/>
              </w:rPr>
              <w:t xml:space="preserve"> s.r.o., Gelnica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SIRAIL s.r.o., Prakovce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QESS s.r.o., Jaklovce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SEZ a.s., Krompachy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 – SK s.r.o., Spišská Nová Ves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TRIPLUS SK s.r.o., Spišská Nová Ves</w:t>
            </w:r>
          </w:p>
        </w:tc>
      </w:tr>
      <w:tr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 okrese Gelnica - k 29.7.2019  nie sú pracovné ponuky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 okrese Spišská Novo Ves – 1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 okrese Košice - 4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 okrese Gelnica - k 29.7.2019  nie sú pracovné ponuky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 okrese SNV – 3 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 okrese Košice - 24</w:t>
            </w:r>
          </w:p>
        </w:tc>
      </w:tr>
      <w:tr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Aspoň 2 konkrétne pracovné ponuky (</w:t>
            </w:r>
            <w:proofErr w:type="spellStart"/>
            <w:r>
              <w:rPr>
                <w:b/>
                <w:bCs/>
                <w:sz w:val="24"/>
                <w:szCs w:val="24"/>
              </w:rPr>
              <w:t>ISTP.sk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Nemocnica Krompachy – zdravotnícky asistent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Arcidiecézna charita Košice, Bočná 2</w:t>
            </w:r>
            <w:r>
              <w:rPr>
                <w:sz w:val="20"/>
                <w:szCs w:val="20"/>
              </w:rPr>
              <w:br/>
              <w:t>04001 -  terénna opatrovateľka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SEZ a.s., Krompachy – montážny pracovník </w:t>
            </w:r>
          </w:p>
          <w:p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ManpowerGroup</w:t>
            </w:r>
            <w:proofErr w:type="spellEnd"/>
            <w:r>
              <w:rPr>
                <w:sz w:val="20"/>
                <w:szCs w:val="20"/>
              </w:rPr>
              <w:t xml:space="preserve"> Slovensko s.r.o., Košice – Barca – operátor výroby</w:t>
            </w:r>
          </w:p>
        </w:tc>
      </w:tr>
    </w:tbl>
    <w:p>
      <w:pPr>
        <w:pStyle w:val="Nadpis1"/>
        <w:spacing w:before="0" w:after="0"/>
        <w:rPr>
          <w:rFonts w:asciiTheme="minorHAnsi" w:eastAsia="Arial" w:hAnsiTheme="minorHAnsi"/>
          <w:sz w:val="32"/>
        </w:rPr>
      </w:pPr>
    </w:p>
    <w:p>
      <w:pPr>
        <w:pStyle w:val="Nadpis1"/>
        <w:spacing w:before="0" w:after="0"/>
        <w:rPr>
          <w:rFonts w:asciiTheme="minorHAnsi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t xml:space="preserve">6. Vykonané aktivity </w:t>
      </w:r>
      <w:bookmarkEnd w:id="2"/>
      <w:r>
        <w:rPr>
          <w:rFonts w:asciiTheme="minorHAnsi" w:eastAsia="Arial" w:hAnsiTheme="minorHAnsi"/>
          <w:sz w:val="24"/>
          <w:szCs w:val="24"/>
        </w:rPr>
        <w:t>v oblasti kontaktu s trhom práce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8"/>
        <w:gridCol w:w="2040"/>
        <w:gridCol w:w="1896"/>
        <w:gridCol w:w="2891"/>
      </w:tblGrid>
      <w:tr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rFonts w:eastAsia="Arial"/>
                <w:color w:val="FFFFFF" w:themeColor="background1"/>
                <w:sz w:val="20"/>
                <w:szCs w:val="28"/>
              </w:rPr>
              <w:br w:type="page"/>
            </w:r>
            <w:r>
              <w:rPr>
                <w:b/>
                <w:bCs/>
                <w:color w:val="FFFFFF" w:themeColor="background1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Cieľ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Detailný popis dosiahnutých výsledkov (získané informácie, kontakty)</w:t>
            </w:r>
          </w:p>
        </w:tc>
      </w:tr>
      <w:tr>
        <w:trPr>
          <w:trHeight w:val="161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Vypracovanie zoznamu   zamestnávateľov pre cielené zamestnania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12.6. –29.7.2019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Získať prehľad o počte zamestnávateľov, ktorých je možné kontaktovať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6"/>
                <w:szCs w:val="16"/>
              </w:rPr>
            </w:pPr>
            <w:r>
              <w:rPr>
                <w:sz w:val="20"/>
              </w:rPr>
              <w:t xml:space="preserve"> Získala  prehľad  o zamestnávateľoch  v oblasti v ktorej má záujem pracovať</w:t>
            </w:r>
          </w:p>
        </w:tc>
      </w:tr>
      <w:tr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Vypracovanie životopisu , žiadosti o prijatie do zamestnania 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12.6. - 23.7.2019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ind w:right="-1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Vypracovať štruktúrovaný  životopis+ žiadosť 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Za podpory poradcu vypracovala životopis+ žiadosť o prijatie do zamestnania </w:t>
            </w:r>
          </w:p>
        </w:tc>
      </w:tr>
      <w:tr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Nácvik pracovné pohovoru  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15.7.2019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ind w:right="-129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Získať zručnosti 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Na modelovej úlohe si osvojiť zručnosti pre uchádzanie sa</w:t>
            </w:r>
            <w:r>
              <w:rPr>
                <w:sz w:val="20"/>
              </w:rPr>
              <w:t xml:space="preserve">  o zamestnanie </w:t>
            </w:r>
          </w:p>
        </w:tc>
      </w:tr>
    </w:tbl>
    <w:p>
      <w:pPr>
        <w:pStyle w:val="Nadpis1"/>
        <w:spacing w:before="120" w:after="120"/>
        <w:rPr>
          <w:rFonts w:asciiTheme="minorHAnsi" w:eastAsia="Arial" w:hAnsiTheme="minorHAnsi"/>
          <w:sz w:val="24"/>
          <w:szCs w:val="24"/>
        </w:rPr>
      </w:pPr>
      <w:bookmarkStart w:id="4" w:name="_Toc390942119"/>
      <w:r>
        <w:rPr>
          <w:rFonts w:asciiTheme="minorHAnsi" w:eastAsia="Arial" w:hAnsiTheme="minorHAnsi"/>
          <w:sz w:val="24"/>
          <w:szCs w:val="24"/>
        </w:rPr>
        <w:lastRenderedPageBreak/>
        <w:t>7. Akčný plán</w:t>
      </w:r>
      <w:bookmarkEnd w:id="4"/>
      <w:r>
        <w:rPr>
          <w:rFonts w:asciiTheme="minorHAnsi" w:eastAsia="Arial" w:hAnsiTheme="minorHAnsi"/>
          <w:sz w:val="24"/>
          <w:szCs w:val="24"/>
        </w:rPr>
        <w:t xml:space="preserve"> pre uplatnenie DN </w:t>
      </w:r>
      <w:proofErr w:type="spellStart"/>
      <w:r>
        <w:rPr>
          <w:rFonts w:asciiTheme="minorHAnsi" w:eastAsia="Arial" w:hAnsiTheme="minorHAnsi"/>
          <w:sz w:val="24"/>
          <w:szCs w:val="24"/>
        </w:rPr>
        <w:t>UoZ</w:t>
      </w:r>
      <w:proofErr w:type="spellEnd"/>
      <w:r>
        <w:rPr>
          <w:rFonts w:asciiTheme="minorHAnsi" w:eastAsia="Arial" w:hAnsiTheme="minorHAnsi"/>
          <w:sz w:val="24"/>
          <w:szCs w:val="24"/>
        </w:rPr>
        <w:t xml:space="preserve"> na trhu práce</w:t>
      </w:r>
    </w:p>
    <w:p>
      <w:pPr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Poznámka: Akčný musí obsahovať popis plánovaných aktivít DN </w:t>
      </w:r>
      <w:proofErr w:type="spellStart"/>
      <w:r>
        <w:rPr>
          <w:i/>
          <w:sz w:val="16"/>
          <w:szCs w:val="16"/>
        </w:rPr>
        <w:t>UoZ</w:t>
      </w:r>
      <w:proofErr w:type="spellEnd"/>
      <w:r>
        <w:rPr>
          <w:i/>
          <w:sz w:val="16"/>
          <w:szCs w:val="16"/>
        </w:rPr>
        <w:t xml:space="preserve"> na obdobie najmenej 3 </w:t>
      </w:r>
      <w:proofErr w:type="spellStart"/>
      <w:r>
        <w:rPr>
          <w:i/>
          <w:sz w:val="16"/>
          <w:szCs w:val="16"/>
        </w:rPr>
        <w:t>mesiacovpo</w:t>
      </w:r>
      <w:proofErr w:type="spellEnd"/>
      <w:r>
        <w:rPr>
          <w:i/>
          <w:sz w:val="16"/>
          <w:szCs w:val="16"/>
        </w:rPr>
        <w:t xml:space="preserve"> ukončení 1. etapy bilancie kompetencií, pričom aspoň jedna z  </w:t>
      </w:r>
      <w:proofErr w:type="spellStart"/>
      <w:r>
        <w:rPr>
          <w:i/>
          <w:sz w:val="16"/>
          <w:szCs w:val="16"/>
        </w:rPr>
        <w:t>zamestnanienich</w:t>
      </w:r>
      <w:proofErr w:type="spellEnd"/>
      <w:r>
        <w:rPr>
          <w:i/>
          <w:sz w:val="16"/>
          <w:szCs w:val="16"/>
        </w:rPr>
        <w:t xml:space="preserve">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5014"/>
        <w:gridCol w:w="3325"/>
      </w:tblGrid>
      <w:tr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Aktivita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Kritériá plnenia</w:t>
            </w:r>
          </w:p>
        </w:tc>
      </w:tr>
      <w:tr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Do12.8.2019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Vyhľadávanie 2 pracovných ponúk</w:t>
            </w:r>
          </w:p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Osobné uchádzanie  sa o zamestnanie:  Zariadenie opatrovateľskej služby Prakovce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Získať návyk  sledovať VPM</w:t>
            </w:r>
          </w:p>
          <w:p>
            <w:pPr>
              <w:spacing w:after="0"/>
              <w:rPr>
                <w:sz w:val="20"/>
              </w:rPr>
            </w:pP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Zamestnávateľ prevzal  a zaregistroval žiadosť +CV</w:t>
            </w:r>
          </w:p>
          <w:p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 prijatí/neprijatí  bude informovať písomne resp. telefonicky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</w:tc>
      </w:tr>
      <w:tr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Do12.9.2019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Informovať sa na </w:t>
            </w:r>
            <w:proofErr w:type="spellStart"/>
            <w:r>
              <w:rPr>
                <w:sz w:val="20"/>
                <w:szCs w:val="20"/>
              </w:rPr>
              <w:t>úpsvr</w:t>
            </w:r>
            <w:proofErr w:type="spellEnd"/>
            <w:r>
              <w:rPr>
                <w:sz w:val="20"/>
                <w:szCs w:val="20"/>
              </w:rPr>
              <w:t xml:space="preserve"> o príspevkoch na podporu pracovnej mobility 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Podať si 1x žiadosť na 1. cielené zamestnanie : IDEA DSS Prakovce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Podať si žiadosť 1x na 2. cielené zamestnanie: </w:t>
            </w:r>
            <w:proofErr w:type="spellStart"/>
            <w:r>
              <w:rPr>
                <w:sz w:val="20"/>
                <w:szCs w:val="20"/>
              </w:rPr>
              <w:t>Klauke</w:t>
            </w:r>
            <w:proofErr w:type="spellEnd"/>
            <w:r>
              <w:rPr>
                <w:sz w:val="20"/>
                <w:szCs w:val="20"/>
              </w:rPr>
              <w:t xml:space="preserve"> s.r.o., Gelnica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Zvýšiť okruh pracovnej mobility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Doručiť vybraným zamestnávateľom žiadosť + životopis, o výsledku informovať svoju sprostredkovateľku</w:t>
            </w:r>
          </w:p>
        </w:tc>
      </w:tr>
      <w:tr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Do12.11.2019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Sledovať pracovné ponuky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Podať     2x žiadosť  na 1. cielené zamestnanie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2x žiadosť na 2. cielené zamestnanie 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podľa vytypovaných zamestnávateľov uvedených v bode 5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Vyhľadať ponuky na Rekvalifikačný kurz: Operátor výroby 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Mať aktuálny prehľad o pracovných ponukách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Doručiť vybraným zamestnávateľom žiadosť + životopis, o výsledku informovať svoju sprostredkovateľku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Prostredníctvom úradu práce si podať požiadavku na rekvalifikačný kurz</w:t>
            </w:r>
          </w:p>
        </w:tc>
      </w:tr>
    </w:tbl>
    <w:p>
      <w:pPr>
        <w:pStyle w:val="Nadpis1"/>
        <w:spacing w:before="120" w:after="0"/>
        <w:rPr>
          <w:rFonts w:asciiTheme="minorHAnsi" w:eastAsia="Arial" w:hAnsiTheme="minorHAnsi"/>
          <w:sz w:val="16"/>
          <w:szCs w:val="16"/>
        </w:rPr>
      </w:pPr>
      <w:bookmarkStart w:id="5" w:name="_Toc390942117"/>
      <w:r>
        <w:rPr>
          <w:b w:val="0"/>
          <w:noProof/>
          <w:sz w:val="24"/>
          <w:szCs w:val="24"/>
          <w:lang w:eastAsia="sk-SK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-160020</wp:posOffset>
                </wp:positionH>
                <wp:positionV relativeFrom="paragraph">
                  <wp:posOffset>415290</wp:posOffset>
                </wp:positionV>
                <wp:extent cx="6991350" cy="22860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Páni Bikárová  máte potenciál na vykonávanie cielených zamestnaní, odporúčam Vám však   aktívnejší  a cielený prístup k riešeniu svojej situácie.  Odporúčam  Vám dodržať akčný plán, a pokračovať v jeho dopĺňaní, čo Vás bude viesť k motivácií čím skôr sa zamestnať.   Pokračujte v sledovaní  ponúk voľných pracovných miest, osobne i písomne kontaktujte  zamestnávateľov, aktualizujte si svoj životopis.  Uchádzajte   sa o pracovné miesta aj u zamestnávateľov, ktorí nemajú zverejnené pracovné ponuky. </w:t>
                            </w:r>
                          </w:p>
                          <w:p>
                            <w:pPr>
                              <w:spacing w:after="0"/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Odporúčam Vám vytvoriť si mailovú adresu, aby ste si  mohla  vypracovať profil na </w:t>
                            </w:r>
                            <w:hyperlink r:id="rId7" w:history="1">
                              <w:r>
                                <w:rPr>
                                  <w:rStyle w:val="Hypertextovprepojenie"/>
                                  <w:i/>
                                </w:rPr>
                                <w:t>www.istp.sk</w:t>
                              </w:r>
                            </w:hyperlink>
                            <w:r>
                              <w:rPr>
                                <w:i/>
                              </w:rPr>
                              <w:t xml:space="preserve">, čo Vám umožní pružnejšie reagovanie na pracovné ponuky. Ďalej odporúčam zvážiť (aj s využitím príspevkov na dochádzku do zamestnania) pracovnú mobilitu do blízkych okresov. </w:t>
                            </w:r>
                          </w:p>
                          <w:p>
                            <w:pPr>
                              <w:spacing w:after="0"/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Z dôvodu, že uplynula dlhá doba odkedy ste vykonávala  svoju pôvodnú profesiu, aby ste si obnovila zručnosti odporúčam  (v prípade ponuky)  prijať prácu aj na krátkodobý pracovný pomer.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res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. skrátený pracovný čas, resp. práce vykonávane na základe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DoVP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.  V súvislosti s druhým cieleným zamestnaním Vám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doporučujem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absolvovať kurz: Operátor výroby.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12.6pt;margin-top:32.7pt;width:550.5pt;height:18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">
                <v:textbox>
                  <w:txbxContent>
                    <w:p>
                      <w:pPr>
                        <w:spacing w:after="0"/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Páni Bikárová  máte potenciál na vykonávanie cielených zamestnaní, odporúčam Vám však   aktívnejší  a cielený prístup k riešeniu svojej situácie.  Odporúčam  Vám dodržať akčný plán, a pokračovať v jeho dopĺňaní, čo Vás bude viesť k motivácií čím skôr sa zamestnať.   Pokračujte v sledovaní  ponúk voľných pracovných miest, osobne i písomne kontaktujte  zamestnávateľov, aktualizujte si svoj životopis.  Uchádzajte   sa o pracovné miesta aj u zamestnávateľov, ktorí nemajú zverejnené pracovné ponuky. </w:t>
                      </w:r>
                    </w:p>
                    <w:p>
                      <w:pPr>
                        <w:spacing w:after="0"/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Odporúčam Vám vytvoriť si mailovú adresu, aby ste si  mohla  vypracovať profil na </w:t>
                      </w:r>
                      <w:hyperlink r:id="rId8" w:history="1">
                        <w:r>
                          <w:rPr>
                            <w:rStyle w:val="Hypertextovprepojenie"/>
                            <w:i/>
                          </w:rPr>
                          <w:t>www.istp.sk</w:t>
                        </w:r>
                      </w:hyperlink>
                      <w:r>
                        <w:rPr>
                          <w:i/>
                        </w:rPr>
                        <w:t xml:space="preserve">, čo Vám umožní pružnejšie reagovanie na pracovné ponuky. Ďalej odporúčam zvážiť (aj s využitím príspevkov na dochádzku do zamestnania) pracovnú mobilitu do blízkych okresov. </w:t>
                      </w:r>
                    </w:p>
                    <w:p>
                      <w:pPr>
                        <w:spacing w:after="0"/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Z dôvodu, že uplynula dlhá doba odkedy ste vykonávala  svoju pôvodnú profesiu, aby ste si obnovila zručnosti odporúčam  (v prípade ponuky)  prijať prácu aj na krátkodobý pracovný pomer. </w:t>
                      </w:r>
                      <w:proofErr w:type="spellStart"/>
                      <w:r>
                        <w:rPr>
                          <w:i/>
                        </w:rPr>
                        <w:t>res</w:t>
                      </w:r>
                      <w:proofErr w:type="spellEnd"/>
                      <w:r>
                        <w:rPr>
                          <w:i/>
                        </w:rPr>
                        <w:t xml:space="preserve">. skrátený pracovný čas, resp. práce vykonávane na základe </w:t>
                      </w:r>
                      <w:proofErr w:type="spellStart"/>
                      <w:r>
                        <w:rPr>
                          <w:i/>
                        </w:rPr>
                        <w:t>DoVP</w:t>
                      </w:r>
                      <w:proofErr w:type="spellEnd"/>
                      <w:r>
                        <w:rPr>
                          <w:i/>
                        </w:rPr>
                        <w:t xml:space="preserve">.  V súvislosti s druhým cieleným zamestnaním Vám </w:t>
                      </w:r>
                      <w:proofErr w:type="spellStart"/>
                      <w:r>
                        <w:rPr>
                          <w:i/>
                        </w:rPr>
                        <w:t>doporučujem</w:t>
                      </w:r>
                      <w:proofErr w:type="spellEnd"/>
                      <w:r>
                        <w:rPr>
                          <w:i/>
                        </w:rPr>
                        <w:t xml:space="preserve"> absolvovať kurz: Operátor výroby.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eastAsia="Arial" w:hAnsiTheme="minorHAnsi"/>
          <w:sz w:val="24"/>
          <w:szCs w:val="24"/>
        </w:rPr>
        <w:t>8.</w:t>
      </w:r>
      <w:r>
        <w:rPr>
          <w:rFonts w:asciiTheme="minorHAnsi" w:eastAsia="Arial" w:hAnsiTheme="minorHAnsi"/>
          <w:sz w:val="16"/>
          <w:szCs w:val="16"/>
        </w:rPr>
        <w:t xml:space="preserve"> </w:t>
      </w:r>
      <w:bookmarkEnd w:id="5"/>
      <w:r>
        <w:rPr>
          <w:rFonts w:asciiTheme="minorHAnsi" w:eastAsia="Arial" w:hAnsiTheme="minorHAnsi"/>
          <w:sz w:val="16"/>
          <w:szCs w:val="16"/>
        </w:rPr>
        <w:t>I</w:t>
      </w:r>
      <w:r>
        <w:rPr>
          <w:rFonts w:asciiTheme="minorHAnsi" w:eastAsia="Arial" w:hAnsiTheme="minorHAnsi"/>
          <w:sz w:val="24"/>
          <w:szCs w:val="24"/>
        </w:rPr>
        <w:t xml:space="preserve">ndividualizované odporúčania pre DN </w:t>
      </w:r>
      <w:proofErr w:type="spellStart"/>
      <w:r>
        <w:rPr>
          <w:rFonts w:asciiTheme="minorHAnsi" w:eastAsia="Arial" w:hAnsiTheme="minorHAnsi"/>
          <w:sz w:val="24"/>
          <w:szCs w:val="24"/>
        </w:rPr>
        <w:t>UoZ</w:t>
      </w:r>
      <w:proofErr w:type="spellEnd"/>
    </w:p>
    <w:p>
      <w:bookmarkStart w:id="6" w:name="_GoBack"/>
      <w:bookmarkEnd w:id="6"/>
      <w:r>
        <w:t xml:space="preserve">Bola identifikovaná potreba vzdelávania: </w:t>
      </w:r>
      <w:proofErr w:type="spellStart"/>
      <w:r>
        <w:t>Xáno</w:t>
      </w:r>
      <w:proofErr w:type="spellEnd"/>
      <w:r>
        <w:t xml:space="preserve"> </w:t>
      </w:r>
      <w:sdt>
        <w:sdtPr>
          <w:id w:val="-1691526375"/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nie</w:t>
      </w:r>
    </w:p>
    <w:p>
      <w:r>
        <w:rPr>
          <w:sz w:val="24"/>
          <w:szCs w:val="24"/>
        </w:rPr>
        <w:t>Odporúčané vzdelávanie:</w:t>
      </w:r>
      <w:r>
        <w:t xml:space="preserve"> Operátor výroby </w:t>
      </w:r>
    </w:p>
    <w:sectPr>
      <w:headerReference w:type="default" r:id="rId9"/>
      <w:footerReference w:type="default" r:id="rId10"/>
      <w:pgSz w:w="11906" w:h="16838"/>
      <w:pgMar w:top="1417" w:right="1700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proofErr w:type="spellStart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</w:t>
    </w:r>
    <w:proofErr w:type="spellEnd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 xml:space="preserve"> / </w:t>
    </w:r>
    <w:proofErr w:type="spellStart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www.esf.gov.sk</w:t>
    </w:r>
    <w:proofErr w:type="spellEnd"/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4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4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1"/>
    </w:pPr>
    <w:r>
      <w:rPr>
        <w:noProof/>
        <w:lang w:val="sk-SK" w:eastAsia="sk-SK"/>
      </w:rPr>
      <w:drawing>
        <wp:inline distT="0" distB="8890" distL="0" distR="0">
          <wp:extent cx="4993640" cy="429260"/>
          <wp:effectExtent l="19050" t="0" r="0" b="0"/>
          <wp:docPr id="68" name="Obrázok 1" descr="Popis: C:\Users\popadakoval\AppData\Local\Microsoft\Windows\Temporary Internet Files\Content.Outlook\0HQSK5H1\oplz+eu_1 ku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1" descr="Popis: C:\Users\popadakoval\AppData\Local\Microsoft\Windows\Temporary Internet Files\Content.Outlook\0HQSK5H1\oplz+eu_1 ku 5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93640" cy="429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NP </w:t>
    </w:r>
    <w:proofErr w:type="spellStart"/>
    <w:r>
      <w:rPr>
        <w:rFonts w:ascii="Times New Roman" w:hAnsi="Times New Roman"/>
        <w:sz w:val="18"/>
        <w:szCs w:val="18"/>
      </w:rPr>
      <w:t>Podpora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individualizovaného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poradenstva</w:t>
    </w:r>
    <w:proofErr w:type="spellEnd"/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  <w:proofErr w:type="gramStart"/>
    <w:r>
      <w:rPr>
        <w:rFonts w:ascii="Times New Roman" w:hAnsi="Times New Roman"/>
        <w:sz w:val="18"/>
        <w:szCs w:val="18"/>
      </w:rPr>
      <w:t>pre</w:t>
    </w:r>
    <w:proofErr w:type="gram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dlhodobo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nezamestnaných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UoZ</w:t>
    </w:r>
    <w:proofErr w:type="spellEnd"/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proofErr w:type="spellStart"/>
    <w:r>
      <w:rPr>
        <w:rFonts w:ascii="Times New Roman" w:hAnsi="Times New Roman"/>
        <w:sz w:val="18"/>
        <w:szCs w:val="18"/>
      </w:rPr>
      <w:t>Kód</w:t>
    </w:r>
    <w:proofErr w:type="spellEnd"/>
    <w:r>
      <w:rPr>
        <w:rFonts w:ascii="Times New Roman" w:hAnsi="Times New Roman"/>
        <w:sz w:val="18"/>
        <w:szCs w:val="18"/>
      </w:rPr>
      <w:t xml:space="preserve"> ITMS2014+: </w:t>
    </w:r>
    <w:r>
      <w:rPr>
        <w:rFonts w:ascii="Times New Roman" w:hAnsi="Times New Roman"/>
        <w:bCs/>
        <w:sz w:val="18"/>
        <w:szCs w:val="18"/>
      </w:rPr>
      <w:t>312031M635</w:t>
    </w:r>
  </w:p>
  <w:p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tp.s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stp.sk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936</Words>
  <Characters>5340</Characters>
  <Application>Microsoft Office Word</Application>
  <DocSecurity>0</DocSecurity>
  <Lines>44</Lines>
  <Paragraphs>12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 Kmeť</dc:creator>
  <cp:lastModifiedBy>CL</cp:lastModifiedBy>
  <cp:revision>5</cp:revision>
  <cp:lastPrinted>2019-07-09T10:23:00Z</cp:lastPrinted>
  <dcterms:created xsi:type="dcterms:W3CDTF">2019-08-06T11:09:00Z</dcterms:created>
  <dcterms:modified xsi:type="dcterms:W3CDTF">2019-08-09T08:41:00Z</dcterms:modified>
</cp:coreProperties>
</file>