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Jana </w:t>
            </w:r>
            <w:proofErr w:type="spellStart"/>
            <w:r>
              <w:rPr>
                <w:sz w:val="24"/>
                <w:szCs w:val="24"/>
              </w:rPr>
              <w:t>Tulejová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29.7.2019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5.6.2019 do 14.8.2019  v rozsahu 38 hodín a boli pri nej použité nasledovné nástroje: </w:t>
      </w:r>
    </w:p>
    <w:p>
      <w:pPr>
        <w:jc w:val="both"/>
      </w:pPr>
      <w:r>
        <w:rPr>
          <w:sz w:val="20"/>
          <w:szCs w:val="20"/>
        </w:rPr>
        <w:t>Kompetenčné portfólio, rozhovory s ľuďmi z praxe, osobnostné predpoklady B3, kľúčové kompetencie D4, moje zručnosti D3, nepoznané stránky osobnosti. B3 – Osobnostné predpoklady – ISTP,  C5 – Moje profesijné hodnoty, B4 – Osobná SWOT analýza,  D2 – krivka života,  B5 – Zoznam vlastností,  Kľúčové kompetencie, C10 –  V akých povolaniach sa môžem uplatniť., A5 – Otázky na pracovný pohovor</w:t>
      </w:r>
      <w:r>
        <w:t>.</w:t>
      </w:r>
    </w:p>
    <w:p>
      <w:pPr>
        <w:ind w:right="-1417"/>
        <w:jc w:val="both"/>
        <w:rPr>
          <w:sz w:val="20"/>
          <w:szCs w:val="20"/>
        </w:rPr>
      </w:pP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59055</wp:posOffset>
                </wp:positionH>
                <wp:positionV relativeFrom="paragraph">
                  <wp:posOffset>474980</wp:posOffset>
                </wp:positionV>
                <wp:extent cx="6715125" cy="1581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Na základe analýzy Vašej životnej situácie vo vzťahu k trhu práce  kedy uvádzate, že ste doposiaľ ešte nikde nepracovala, 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t.č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 xml:space="preserve">ste 13 mesiacov v evidencii úradu práce , (je to vaša druhá evidencia),   cca 6 rokov ste poskytovala starostlivosť svojim maloletým deťom (obdobie materskej dovolenky),  máte ukončené základné vzdelanie.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Vyšpecifikovala ste si   očakávania od bilancie kompetencie: pomoc pri identifikovaní  pracovných hodnôt, pomoc pri identifikovaní  profesijných záujmov, naučiť sa pomenovať svoje zručnosti, nájsť cieľové zamestnanie , naučiť sa prezentovať písomne a osobne u zamestnávateľa ( vypracovať životopis a žiadosť o prijatie do zamestnania) pomoc s vyhľadávaním pracovných ponúk.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.65pt;margin-top:37.4pt;width:528.75pt;height:1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">
                <v:textbox>
                  <w:txbxContent>
                    <w:p>
                      <w:pPr>
                        <w:spacing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Na základe analýzy Vašej životnej situácie vo vzťahu k trhu práce  kedy uvádzate, že ste doposiaľ ešte nikde nepracovala,  </w:t>
                      </w:r>
                      <w:proofErr w:type="spellStart"/>
                      <w:r>
                        <w:rPr>
                          <w:i/>
                        </w:rPr>
                        <w:t>t.č</w:t>
                      </w:r>
                      <w:proofErr w:type="spellEnd"/>
                      <w:r>
                        <w:rPr>
                          <w:i/>
                        </w:rPr>
                        <w:t xml:space="preserve">. </w:t>
                      </w:r>
                      <w:r>
                        <w:rPr>
                          <w:i/>
                        </w:rPr>
                        <w:t xml:space="preserve">ste 13 mesiacov v evidencii úradu práce , (je to vaša druhá evidencia),   cca 6 rokov ste poskytovala starostlivosť svojim maloletým deťom (obdobie materskej dovolenky),  máte ukončené základné vzdelanie. </w:t>
                      </w:r>
                    </w:p>
                    <w:p>
                      <w:pPr>
                        <w:spacing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Vyšpecifikovala ste si   očakávania od bilancie kompetencie: pomoc pri identifikovaní  pracovných hodnôt, pomoc pri identifikovaní  profesijných záujmov, naučiť sa pomenovať svoje zručnosti, nájsť cieľové zamestnanie , naučiť sa prezentovať písomne a osobne u zamestnávateľa ( vypracovať životopis a žiadosť o prijatie do zamestnania) pomoc s vyhľadávaním pracovných ponúk.</w:t>
                      </w:r>
                      <w:bookmarkStart w:id="2" w:name="_GoBack"/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3" w:name="_Toc390942113"/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</w:p>
    <w:p/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lastRenderedPageBreak/>
        <w:t>3.Motivácia</w:t>
      </w:r>
    </w:p>
    <w:p>
      <w:pPr>
        <w:jc w:val="both"/>
        <w:rPr>
          <w:b/>
          <w:bCs/>
        </w:rPr>
      </w:pPr>
      <w:r>
        <w:rPr>
          <w:bCs/>
        </w:rPr>
        <w:t xml:space="preserve">V kompetenčnom portfóliu neuvádzate žiadnu  pracovnú skúsenosť,  kompetencie, ktoré ste nadobudla vďaka mimopracovnými aktivitami sú  manuálne zručnosti: starostlivosť o domácnosť- varenie, upratovanie, pranie, čistenie, zametanie, zbieranie lesných plodov. Chcela by ste si nájsť zamestnanie, v ktorom by ste mala pocit že ste súčasťou kolektívu, aby tam boli dobré medziľudské vzťahy,  opakovali  sa  jednoduché činnosti.  </w:t>
      </w:r>
      <w:r>
        <w:t xml:space="preserve">Pri stanovení svojho cieľového zamestnania  ste vychádzala aj zo svojich charakterových vlastností – trpezlivosť, prispôsobivosť, skromnosť, ochota rešpektovať autoritu. </w:t>
      </w:r>
      <w:r>
        <w:rPr>
          <w:bCs/>
        </w:rPr>
        <w:t xml:space="preserve">Na základe tejto analýzy ste si za 1. cielené zamestnanie stanovila: </w:t>
      </w:r>
      <w:r>
        <w:rPr>
          <w:b/>
          <w:bCs/>
          <w:i/>
        </w:rPr>
        <w:t>pomocná sila v kuchyni</w:t>
      </w:r>
      <w:r>
        <w:rPr>
          <w:b/>
          <w:bCs/>
        </w:rPr>
        <w:t xml:space="preserve"> </w:t>
      </w:r>
      <w:r>
        <w:rPr>
          <w:bCs/>
        </w:rPr>
        <w:t xml:space="preserve"> a 2. zamestnanie:  </w:t>
      </w:r>
      <w:r>
        <w:rPr>
          <w:b/>
          <w:bCs/>
          <w:i/>
        </w:rPr>
        <w:t>pracovník na čistenie verejných priestranstiev</w:t>
      </w:r>
      <w:r>
        <w:rPr>
          <w:b/>
          <w:bCs/>
        </w:rPr>
        <w:t xml:space="preserve"> .</w:t>
      </w:r>
      <w:r>
        <w:rPr>
          <w:bCs/>
        </w:rPr>
        <w:t xml:space="preserve"> </w:t>
      </w:r>
    </w:p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3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4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pomocná sila v kuchyni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pracovník na čistenie verejných priestranstiev  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Získané zručnosti:  varenie, upratovanie, čistenie, zametanie, pripravovanie, umývanie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Získané zručnosti:  čistenie, zametanie, upratovanie, hrabanie,  triedenie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trpezlivosť, prispôsobivosť, skromnosť, ochota rešpektovať autoritu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trpezlivosť, prispôsobivosť, skromnosť, ochota rešpektovať autoritu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Doplniť osvedčenie  pre prácu s potravinami (hygienické minimum)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</w:t>
            </w: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5" w:name="_Toc390942114"/>
    </w:p>
    <w:p/>
    <w:p/>
    <w:p/>
    <w:p/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5"/>
      <w:r>
        <w:rPr>
          <w:rFonts w:ascii="Calibri" w:hAnsi="Calibri"/>
          <w:sz w:val="24"/>
          <w:szCs w:val="24"/>
        </w:rPr>
        <w:t xml:space="preserve">  </w:t>
      </w:r>
    </w:p>
    <w:p>
      <w:pPr>
        <w:spacing w:after="0"/>
        <w:rPr>
          <w:rStyle w:val="Hypertextovprepojenie"/>
          <w:rFonts w:eastAsia="Arial" w:cs="Arial"/>
          <w:szCs w:val="24"/>
        </w:rPr>
      </w:pP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Reštaurácia Poľovník Kluknava 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ZŠ s MŠ Kluknava (všetky ZŠ v regióne)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Hotel </w:t>
            </w:r>
            <w:proofErr w:type="spellStart"/>
            <w:r>
              <w:rPr>
                <w:sz w:val="20"/>
                <w:szCs w:val="20"/>
              </w:rPr>
              <w:t>Plejsy</w:t>
            </w:r>
            <w:proofErr w:type="spellEnd"/>
            <w:r>
              <w:rPr>
                <w:sz w:val="20"/>
                <w:szCs w:val="20"/>
              </w:rPr>
              <w:t xml:space="preserve"> Krompachy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Reštaurácia Melódia Krompachy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SEZ a.s., Krompachy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Building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Lifestyle</w:t>
            </w:r>
            <w:proofErr w:type="spellEnd"/>
            <w:r>
              <w:rPr>
                <w:sz w:val="20"/>
                <w:szCs w:val="20"/>
              </w:rPr>
              <w:t xml:space="preserve"> s. r. o, Gelnica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Richnava, Obec Kluknava, (všetky obecné úrady v regióne)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Technické služby mesta Gelnica</w:t>
            </w:r>
          </w:p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Brantner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Nova</w:t>
            </w:r>
            <w:proofErr w:type="spellEnd"/>
            <w:r>
              <w:rPr>
                <w:sz w:val="20"/>
                <w:szCs w:val="20"/>
              </w:rPr>
              <w:t xml:space="preserve"> s.r.o., Spišská Nová Ves</w:t>
            </w:r>
          </w:p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Ekover</w:t>
            </w:r>
            <w:proofErr w:type="spellEnd"/>
            <w:r>
              <w:rPr>
                <w:sz w:val="20"/>
                <w:szCs w:val="20"/>
              </w:rPr>
              <w:t xml:space="preserve"> s.r.o., Krompachy</w:t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: 2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 rámci SR : 3 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hd w:val="clear" w:color="auto" w:fill="F8FAFC"/>
              <w:spacing w:after="0"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ZŠ Lipová 13, Spišská Nová Ves – pomocník v kuchyni</w:t>
            </w:r>
          </w:p>
          <w:p>
            <w:pPr>
              <w:shd w:val="clear" w:color="auto" w:fill="F8FAFC"/>
              <w:spacing w:after="0" w:line="36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Building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Lifestyle</w:t>
            </w:r>
            <w:proofErr w:type="spellEnd"/>
            <w:r>
              <w:rPr>
                <w:sz w:val="20"/>
                <w:szCs w:val="20"/>
              </w:rPr>
              <w:t xml:space="preserve"> s. r. o, Gelnica -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pomocník v kuchyni</w:t>
            </w:r>
          </w:p>
          <w:p>
            <w:pPr>
              <w:shd w:val="clear" w:color="auto" w:fill="F8FAFC"/>
              <w:spacing w:after="0"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ZŠ s MŠ Nálepkovo – pomocná sila  v kuchyni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Obec Jaklovce – zberač odpadu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Obec Veľký </w:t>
            </w:r>
            <w:proofErr w:type="spellStart"/>
            <w:r>
              <w:rPr>
                <w:sz w:val="20"/>
                <w:szCs w:val="20"/>
              </w:rPr>
              <w:t>Folkmár</w:t>
            </w:r>
            <w:proofErr w:type="spellEnd"/>
            <w:r>
              <w:rPr>
                <w:sz w:val="20"/>
                <w:szCs w:val="20"/>
              </w:rPr>
              <w:t xml:space="preserve"> – zberač odpadu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t>Správa cestovného ruchu Senec s. r. o., Senec – pracovník na čistenie verejných priestranstiev</w:t>
            </w:r>
          </w:p>
        </w:tc>
      </w:tr>
    </w:tbl>
    <w:p>
      <w:pPr>
        <w:pStyle w:val="Nadpis1"/>
        <w:spacing w:before="0" w:after="0"/>
        <w:rPr>
          <w:rFonts w:asciiTheme="minorHAnsi" w:eastAsia="Arial" w:hAnsiTheme="minorHAnsi"/>
          <w:sz w:val="32"/>
        </w:rPr>
      </w:pPr>
    </w:p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4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Vypracovanie zoznamu vhodných  zamestnávateľov v regióne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–29.7.2019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prehľad  a kontakty na </w:t>
            </w:r>
            <w:proofErr w:type="spellStart"/>
            <w:r>
              <w:rPr>
                <w:sz w:val="20"/>
                <w:szCs w:val="20"/>
              </w:rPr>
              <w:t>potencionálnych</w:t>
            </w:r>
            <w:proofErr w:type="spellEnd"/>
            <w:r>
              <w:rPr>
                <w:sz w:val="20"/>
                <w:szCs w:val="20"/>
              </w:rPr>
              <w:t xml:space="preserve"> zamestnávateľov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získaný prehľad o počte zamestnávateľov v oblasti v ktorej má záujem  pracovať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Vypracovanie životopisu, žiadosti o prijatie do zamestnania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Vyhľadávanie pracovných ponúk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15.7. - 23.7.2019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Vypracovať  štruktúrovaný životopis + žiadosť</w:t>
            </w:r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prehľad o VPM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 spolupráci s poradcom vypracované doklady CV+ žiadosť</w:t>
            </w:r>
          </w:p>
          <w:p>
            <w:pPr>
              <w:spacing w:after="0"/>
              <w:rPr>
                <w:sz w:val="16"/>
                <w:szCs w:val="16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Získala prehľad o počte VPM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Nácvik pracovného pohovoru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zručnosti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 modelovej situácia si  vyskúšala pracovný pohovor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6" w:name="_Toc390942119"/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6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</w:t>
      </w:r>
      <w:proofErr w:type="spellStart"/>
      <w:r>
        <w:rPr>
          <w:i/>
          <w:sz w:val="16"/>
          <w:szCs w:val="16"/>
        </w:rPr>
        <w:t>mesiacovpo</w:t>
      </w:r>
      <w:proofErr w:type="spellEnd"/>
      <w:r>
        <w:rPr>
          <w:i/>
          <w:sz w:val="16"/>
          <w:szCs w:val="16"/>
        </w:rPr>
        <w:t xml:space="preserve"> ukončení 1. etapy bilancie kompetencií, pričom aspoň jedna z  </w:t>
      </w:r>
      <w:proofErr w:type="spellStart"/>
      <w:r>
        <w:rPr>
          <w:i/>
          <w:sz w:val="16"/>
          <w:szCs w:val="16"/>
        </w:rPr>
        <w:t>zamestnanienich</w:t>
      </w:r>
      <w:proofErr w:type="spellEnd"/>
      <w:r>
        <w:rPr>
          <w:i/>
          <w:sz w:val="16"/>
          <w:szCs w:val="16"/>
        </w:rPr>
        <w:t xml:space="preserve">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Do12.8.2019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Vyhľadávať 2 pracovné ponuky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 na Obecný úrad Kluknava žiadosť o prijatie do zamestnania + životopis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návyk sledovať voľné pracovné miesta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Získanie zamestnania , nadobudnúť skúsenosti s pracovným pohovorom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Vyhľadávať pracovné ponuky, kontaktovať  2 zamestnávateľov (osobne, písomne)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Informovať sa na Obecnom úrade Richnava  o možnosti vykonávať menšie obecné služby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Zistiť ponuky rekvalifikačných kurzov – odborná spôsobilosť pre prácu s potravinami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Doručiť 2 žiadosti o prijatie do zamestnania, získať zamestnanie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Získanie pracovných návykov </w:t>
            </w:r>
          </w:p>
          <w:p>
            <w:pPr>
              <w:spacing w:after="0"/>
              <w:rPr>
                <w:sz w:val="16"/>
                <w:szCs w:val="16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Podať si požiadavku na kurz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Do12.11.2019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Posielať  priebežne    žiadosti +životopisy zamestnávateľom aj mimo miesta trvalého bydliska ( minimálne  2x mesačne  na prvé cieľové zamestnanie </w:t>
            </w:r>
          </w:p>
          <w:p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2x mesačne na druhé cieľové zamestnanie) 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Získať zamestnanie , absolvovať  výberové konania, nadobudnúť skúsenosti s pracovnými pohovormi</w:t>
            </w:r>
          </w:p>
        </w:tc>
      </w:tr>
    </w:tbl>
    <w:bookmarkStart w:id="7" w:name="_Toc390942117"/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-160020</wp:posOffset>
                </wp:positionH>
                <wp:positionV relativeFrom="paragraph">
                  <wp:posOffset>417830</wp:posOffset>
                </wp:positionV>
                <wp:extent cx="6762750" cy="17716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Odporúčam Vám  zvýšiť aktivitu pri riešení vlastnej situácie. Uchádzať sa o zamestnanie aj u zamestnávateľov, ktorí nemajú zverejnené voľné pracovné miesta. Pravidelne aj v spolupráci s 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komunitným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centrom v mieste bydliska vyhľadávať  pracovné ponuky. Odporúčam z dôvodu získania pracovných návykov vykonávať aktivačnú činnosť resp. práce v rámci menších obecných služieb.  Ďalej odporúčam  prijať zamestnanie aj mimo trvalého bydliska,  prijať aj  krátkodobé zamestnanie, sezónne práce, prácu na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DoVP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 Vzhľadom na nízky stupeň vzdelania odporúčam absolvovať vzdelávanie formou rekvalifikačného kurzu. 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Odporúčam aj vzhľadom k veku zvýšiť si aj formou externého štúdia stupeň vzdelania.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2.6pt;margin-top:32.9pt;width:532.5pt;height:13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Odporúčam Vám  zvýšiť aktivitu pri riešení vlastnej situácie. Uchádzať sa o zamestnanie aj u zamestnávateľov, ktorí nemajú zverejnené voľné pracovné miesta. Pravidelne aj v spolupráci s </w:t>
                      </w:r>
                      <w:proofErr w:type="spellStart"/>
                      <w:r>
                        <w:rPr>
                          <w:i/>
                        </w:rPr>
                        <w:t>komunitným</w:t>
                      </w:r>
                      <w:proofErr w:type="spellEnd"/>
                      <w:r>
                        <w:rPr>
                          <w:i/>
                        </w:rPr>
                        <w:t xml:space="preserve"> centrom v mieste bydliska vyhľadávať  pracovné ponuky. Odporúčam z dôvodu získania pracovných návykov vykonávať aktivačnú činnosť resp. práce v rámci menších obecných služieb.  Ďalej odporúčam  prijať zamestnanie aj mimo trvalého bydliska,  prijať aj  krátkodobé zamestnanie, sezónne práce, prácu na </w:t>
                      </w:r>
                      <w:proofErr w:type="spellStart"/>
                      <w:r>
                        <w:rPr>
                          <w:i/>
                        </w:rPr>
                        <w:t>DoVP</w:t>
                      </w:r>
                      <w:proofErr w:type="spellEnd"/>
                      <w:r>
                        <w:rPr>
                          <w:i/>
                        </w:rPr>
                        <w:t xml:space="preserve">.  </w:t>
                      </w:r>
                      <w:r>
                        <w:rPr>
                          <w:i/>
                        </w:rPr>
                        <w:t xml:space="preserve">Vzhľadom na nízky stupeň vzdelania odporúčam absolvovať vzdelávanie formou rekvalifikačného kurzu. 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Odporúčam aj vzhľadom k veku zvýšiť si aj formou externého štúdia stupeň vzdelania.  </w:t>
                      </w:r>
                      <w:bookmarkStart w:id="7" w:name="_GoBack"/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7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/>
    <w:p>
      <w:r>
        <w:t xml:space="preserve">Bola identifikovaná potreba vzdelávania: </w:t>
      </w:r>
      <w:proofErr w:type="spellStart"/>
      <w:r>
        <w:t>Xáno</w:t>
      </w:r>
      <w:proofErr w:type="spellEnd"/>
      <w:r>
        <w:t xml:space="preserve"> </w:t>
      </w:r>
      <w:sdt>
        <w:sdtPr>
          <w:id w:val="-169152637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nie</w:t>
      </w:r>
    </w:p>
    <w:p>
      <w:r>
        <w:rPr>
          <w:sz w:val="24"/>
          <w:szCs w:val="24"/>
        </w:rPr>
        <w:t>Odporúčané vzdelávanie:</w:t>
      </w:r>
      <w:r>
        <w:t xml:space="preserve"> </w:t>
      </w:r>
      <w:r>
        <w:rPr>
          <w:sz w:val="20"/>
          <w:szCs w:val="20"/>
        </w:rPr>
        <w:t>Odborná spôsobilosť pre prácu s potravinami</w:t>
      </w:r>
    </w:p>
    <w:sectPr>
      <w:headerReference w:type="default" r:id="rId8"/>
      <w:footerReference w:type="default" r:id="rId9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7502"/>
    <w:multiLevelType w:val="hybridMultilevel"/>
    <w:tmpl w:val="3238E0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B04ED"/>
    <w:multiLevelType w:val="hybridMultilevel"/>
    <w:tmpl w:val="821C12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E1139"/>
    <w:multiLevelType w:val="hybridMultilevel"/>
    <w:tmpl w:val="F6A4A0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17844"/>
    <w:multiLevelType w:val="hybridMultilevel"/>
    <w:tmpl w:val="203CFF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242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53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5</cp:revision>
  <cp:lastPrinted>2019-07-25T09:05:00Z</cp:lastPrinted>
  <dcterms:created xsi:type="dcterms:W3CDTF">2019-08-05T12:55:00Z</dcterms:created>
  <dcterms:modified xsi:type="dcterms:W3CDTF">2019-08-09T09:02:00Z</dcterms:modified>
</cp:coreProperties>
</file>