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Peter </w:t>
            </w:r>
            <w:proofErr w:type="spellStart"/>
            <w:r>
              <w:rPr>
                <w:sz w:val="20"/>
                <w:szCs w:val="20"/>
              </w:rPr>
              <w:t>Klempár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návyky sledovať ponuky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Ponuky vyhľadané – využil </w:t>
            </w:r>
            <w:proofErr w:type="spellStart"/>
            <w:r>
              <w:rPr>
                <w:sz w:val="20"/>
                <w:szCs w:val="20"/>
              </w:rPr>
              <w:t>komunitné</w:t>
            </w:r>
            <w:proofErr w:type="spellEnd"/>
            <w:r>
              <w:rPr>
                <w:sz w:val="20"/>
                <w:szCs w:val="20"/>
              </w:rPr>
              <w:t xml:space="preserve"> centrum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Osloviť  vytypovaných zamestnávateľov, poskytnúť zamestnávateľovi žiadosť + životopis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kern w:val="36"/>
                <w:sz w:val="20"/>
                <w:szCs w:val="20"/>
                <w:lang w:eastAsia="sk-SK"/>
              </w:rPr>
              <w:t xml:space="preserve">Osobne sa uchádzal o zamestnanie u zamestnávateľa: RE-ON ONDREJ ONDÍK, Richnava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ponuky, doručiť  žiadosti o prijatie do zamestnania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ponúk voľných pracovných miest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3 pracovné ponuky, doručiť zamestnávateľom žiadosť+ životopis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 VPM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Čiastočne splnené  - sledoval  VPM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335915</wp:posOffset>
                </wp:positionV>
                <wp:extent cx="5909945" cy="74295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u pána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Klempára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zvýšiť frekvenciu kontaktov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potrebná vyššia aktivita pri uplatnení sa na TP, odporúčam zaradiť do aktivačnej činnosti resp. menších obecných služieb.  Ďalej odporúčam ponúkať aj sezónne práce a krátkodobé pracovné vzťahy – potreba prinavrátenia  pracovných návykov. Pomoc s vyhľadaním rekvalifikácie.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4.85pt;margin-top:26.45pt;width:465.35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u pána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Klempára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zvýšiť frekvenciu kontaktov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potrebná vyššia aktivita pri uplatnení sa na TP, odporúčam zaradiť do aktivačnej činnosti resp. menších obecných služieb.  Ďalej odporúčam ponúkať aj sezónne práce a krátkodobé pracovné vzťahy – potreba prinavrátenia  pracovných návykov. Pomoc s vyhľadaním rekvalifikácie.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Obsluha </w:t>
      </w:r>
      <w:proofErr w:type="spellStart"/>
      <w:r>
        <w:t>krovinorezu</w:t>
      </w:r>
      <w:proofErr w:type="spellEnd"/>
      <w:r>
        <w:t xml:space="preserve">.  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CL</cp:lastModifiedBy>
  <cp:revision>4</cp:revision>
  <cp:lastPrinted>2019-07-23T12:16:00Z</cp:lastPrinted>
  <dcterms:created xsi:type="dcterms:W3CDTF">2019-07-23T11:20:00Z</dcterms:created>
  <dcterms:modified xsi:type="dcterms:W3CDTF">2019-08-08T12:22:00Z</dcterms:modified>
</cp:coreProperties>
</file>