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1"/>
        <w:tblpPr w:leftFromText="180" w:rightFromText="180" w:vertAnchor="text" w:horzAnchor="page" w:tblpX="1" w:tblpY="182"/>
        <w:tblW w:w="119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45"/>
        <w:gridCol w:w="2045"/>
        <w:gridCol w:w="2045"/>
        <w:gridCol w:w="5772"/>
      </w:tblGrid>
      <w:tr>
        <w:trPr>
          <w:trHeight w:val="268"/>
        </w:trPr>
        <w:tc>
          <w:tcPr>
            <w:tcW w:w="2045" w:type="dxa"/>
            <w:shd w:val="clear" w:color="auto" w:fill="C2D69B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  <w:bookmarkStart w:id="0" w:name="_Toc390942110"/>
          </w:p>
        </w:tc>
        <w:tc>
          <w:tcPr>
            <w:tcW w:w="2045" w:type="dxa"/>
            <w:shd w:val="clear" w:color="auto" w:fill="D99594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2045" w:type="dxa"/>
            <w:shd w:val="clear" w:color="auto" w:fill="FABF8F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  <w:tc>
          <w:tcPr>
            <w:tcW w:w="5772" w:type="dxa"/>
            <w:shd w:val="clear" w:color="auto" w:fill="95B3D7"/>
          </w:tcPr>
          <w:p>
            <w:pPr>
              <w:spacing w:line="276" w:lineRule="auto"/>
              <w:rPr>
                <w:rFonts w:ascii="Calibri" w:eastAsia="Calibri" w:hAnsi="Calibri" w:cs="Times New Roman"/>
              </w:rPr>
            </w:pPr>
          </w:p>
        </w:tc>
      </w:tr>
    </w:tbl>
    <w:p>
      <w:pPr>
        <w:pStyle w:val="Nadpis1"/>
        <w:spacing w:after="240"/>
        <w:rPr>
          <w:rFonts w:asciiTheme="minorHAnsi" w:hAnsiTheme="minorHAnsi"/>
          <w:sz w:val="32"/>
        </w:rPr>
      </w:pPr>
    </w:p>
    <w:p>
      <w:pPr>
        <w:pStyle w:val="Nadpis1"/>
        <w:spacing w:after="240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  <w:lang w:eastAsia="sk-SK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rdArt 2" o:spid="_x0000_s1026" type="#_x0000_t202" style="position:absolute;margin-left:4.8pt;margin-top:-31.2pt;width:353.8pt;height:36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" filled="f" stroked="f">
            <v:stroke joinstyle="round"/>
            <o:lock v:ext="edit" shapetype="t"/>
            <v:textbox style="mso-fit-shape-to-text:t">
              <w:txbxContent>
                <w:p>
                  <w:pPr>
                    <w:pStyle w:val="Normlnywebov"/>
                    <w:spacing w:before="0" w:beforeAutospacing="0" w:after="0" w:afterAutospacing="0"/>
                    <w:rPr>
                      <w:rFonts w:asciiTheme="minorHAnsi" w:hAnsiTheme="minorHAnsi" w:cs="Segoe UI"/>
                      <w:color w:val="000000" w:themeColor="text1"/>
                      <w:sz w:val="18"/>
                      <w:lang w:val="sk-SK"/>
                    </w:rPr>
                  </w:pPr>
                  <w:r>
                    <w:rPr>
                      <w:rFonts w:asciiTheme="minorHAnsi" w:hAnsiTheme="minorHAnsi" w:cs="Segoe UI"/>
                      <w:color w:val="000000" w:themeColor="text1"/>
                      <w:sz w:val="48"/>
                      <w:szCs w:val="72"/>
                      <w:lang w:val="sk-SK"/>
                    </w:rPr>
                    <w:t>ZÁVEREČNÁ SPRÁVA</w:t>
                  </w:r>
                </w:p>
              </w:txbxContent>
            </v:textbox>
          </v:shape>
        </w:pict>
      </w:r>
      <w:r>
        <w:rPr>
          <w:rFonts w:asciiTheme="minorHAnsi" w:hAnsiTheme="minorHAnsi"/>
          <w:sz w:val="24"/>
          <w:szCs w:val="24"/>
        </w:rPr>
        <w:t>1. Identifikačné údaje</w:t>
      </w:r>
      <w:bookmarkEnd w:id="0"/>
    </w:p>
    <w:tbl>
      <w:tblPr>
        <w:tblStyle w:val="Mriekatabuky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8"/>
      </w:tblGrid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Klient</w:t>
            </w:r>
          </w:p>
        </w:tc>
        <w:tc>
          <w:tcPr>
            <w:tcW w:w="2500" w:type="pct"/>
          </w:tcPr>
          <w:p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Poradca</w:t>
            </w:r>
            <w:r>
              <w:rPr>
                <w:sz w:val="24"/>
                <w:szCs w:val="24"/>
              </w:rPr>
              <w:t>:</w:t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>:</w:t>
            </w:r>
            <w:r>
              <w:rPr>
                <w:sz w:val="24"/>
                <w:szCs w:val="24"/>
              </w:rPr>
              <w:t xml:space="preserve"> Jaroslav </w:t>
            </w:r>
            <w:proofErr w:type="spellStart"/>
            <w:r>
              <w:rPr>
                <w:sz w:val="24"/>
                <w:szCs w:val="24"/>
              </w:rPr>
              <w:t>Piatnica</w:t>
            </w:r>
            <w:proofErr w:type="spellEnd"/>
          </w:p>
        </w:tc>
        <w:tc>
          <w:tcPr>
            <w:tcW w:w="2500" w:type="pct"/>
          </w:tcPr>
          <w:p>
            <w:pPr>
              <w:rPr>
                <w:sz w:val="20"/>
              </w:rPr>
            </w:pPr>
            <w:r>
              <w:rPr>
                <w:sz w:val="24"/>
                <w:szCs w:val="24"/>
              </w:rPr>
              <w:t>Meno a priezvisko</w:t>
            </w:r>
            <w:r>
              <w:rPr>
                <w:sz w:val="20"/>
              </w:rPr>
              <w:t xml:space="preserve">: </w:t>
            </w:r>
            <w:proofErr w:type="spellStart"/>
            <w:r>
              <w:rPr>
                <w:sz w:val="24"/>
                <w:szCs w:val="24"/>
              </w:rPr>
              <w:t>PaedDr.Miroslav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Schvarcz</w:t>
            </w:r>
            <w:proofErr w:type="spellEnd"/>
            <w:r>
              <w:rPr>
                <w:sz w:val="20"/>
              </w:rPr>
              <w:tab/>
            </w:r>
            <w:r>
              <w:rPr>
                <w:sz w:val="20"/>
              </w:rPr>
              <w:tab/>
            </w:r>
          </w:p>
        </w:tc>
      </w:tr>
      <w:tr>
        <w:trPr>
          <w:trHeight w:val="487"/>
        </w:trPr>
        <w:tc>
          <w:tcPr>
            <w:tcW w:w="2500" w:type="pct"/>
          </w:tcPr>
          <w:p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Podpis:</w:t>
            </w:r>
          </w:p>
        </w:tc>
        <w:tc>
          <w:tcPr>
            <w:tcW w:w="2500" w:type="pct"/>
          </w:tcPr>
          <w:p>
            <w:pPr>
              <w:rPr>
                <w:sz w:val="20"/>
                <w:u w:val="single"/>
              </w:rPr>
            </w:pPr>
            <w:r>
              <w:rPr>
                <w:sz w:val="24"/>
                <w:szCs w:val="24"/>
              </w:rPr>
              <w:t>Podpis</w:t>
            </w:r>
            <w:r>
              <w:rPr>
                <w:sz w:val="20"/>
              </w:rPr>
              <w:t>:</w:t>
            </w:r>
          </w:p>
        </w:tc>
      </w:tr>
    </w:tbl>
    <w:p>
      <w:pPr>
        <w:spacing w:after="0"/>
        <w:rPr>
          <w:sz w:val="24"/>
          <w:szCs w:val="24"/>
        </w:rPr>
      </w:pPr>
      <w:r>
        <w:rPr>
          <w:sz w:val="24"/>
          <w:szCs w:val="24"/>
        </w:rPr>
        <w:t>Dátum vyhotovenia záverečnej správy</w:t>
      </w:r>
      <w:r>
        <w:rPr>
          <w:sz w:val="20"/>
        </w:rPr>
        <w:t xml:space="preserve">: </w:t>
      </w:r>
      <w:r>
        <w:rPr>
          <w:sz w:val="24"/>
          <w:szCs w:val="24"/>
        </w:rPr>
        <w:t>29.7.2019</w:t>
      </w:r>
    </w:p>
    <w:p>
      <w:pPr>
        <w:spacing w:after="0"/>
        <w:rPr>
          <w:sz w:val="20"/>
        </w:rPr>
      </w:pPr>
    </w:p>
    <w:p>
      <w:pPr>
        <w:spacing w:after="0"/>
        <w:rPr>
          <w:rFonts w:eastAsiaTheme="majorEastAsia" w:cstheme="majorBidi"/>
          <w:b/>
          <w:bCs/>
          <w:sz w:val="24"/>
          <w:szCs w:val="24"/>
        </w:rPr>
      </w:pPr>
      <w:r>
        <w:rPr>
          <w:rFonts w:eastAsiaTheme="majorEastAsia" w:cstheme="majorBidi"/>
          <w:b/>
          <w:bCs/>
          <w:sz w:val="24"/>
          <w:szCs w:val="24"/>
        </w:rPr>
        <w:t>2. Priebeh a ciele bilancie kompetencií</w:t>
      </w:r>
    </w:p>
    <w:p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Bilancia kompetencií prebehla v období od 5.6.2019 do 14.8.2019  v rozsahu 38 hodín a boli pri nej použité nasledovné nástroje: </w:t>
      </w:r>
    </w:p>
    <w:p>
      <w:pPr>
        <w:jc w:val="both"/>
      </w:pPr>
      <w:r>
        <w:rPr>
          <w:sz w:val="20"/>
          <w:szCs w:val="20"/>
        </w:rPr>
        <w:t xml:space="preserve">Kompetenčné portfólio, rozhovory s ľuďmi z praxe, osobnostné predpoklady B3, kľúčové kompetencie D4, moje zručnosti D3, nepoznané stránky osobnosti, Môj profesijný typ, A12 – plán cesty,  C1, C2, C3 – Profesijné okruhy RIASEC,  B5 – Moje vlastnosti, C10 – v akých povolaniach sa môžem uplatniť, </w:t>
      </w:r>
      <w:proofErr w:type="spellStart"/>
      <w:r>
        <w:rPr>
          <w:sz w:val="20"/>
          <w:szCs w:val="20"/>
        </w:rPr>
        <w:t>Karierový</w:t>
      </w:r>
      <w:proofErr w:type="spellEnd"/>
      <w:r>
        <w:rPr>
          <w:sz w:val="20"/>
          <w:szCs w:val="20"/>
        </w:rPr>
        <w:t xml:space="preserve"> kvietok.</w:t>
      </w:r>
    </w:p>
    <w:p>
      <w:pPr>
        <w:ind w:right="-1417"/>
        <w:jc w:val="both"/>
        <w:rPr>
          <w:sz w:val="20"/>
          <w:szCs w:val="20"/>
        </w:rPr>
      </w:pP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Všetky aktivity smerovali k analýze nadobudnutých vedomostí a zručností klienta, ako aj jeho profesijných motivácií a osobnostných vlastností.</w:t>
      </w:r>
    </w:p>
    <w:p>
      <w:pPr>
        <w:spacing w:after="0" w:line="240" w:lineRule="auto"/>
        <w:jc w:val="both"/>
        <w:rPr>
          <w:sz w:val="20"/>
          <w:szCs w:val="20"/>
        </w:rPr>
      </w:pPr>
      <w:r>
        <w:rPr>
          <w:b/>
          <w:noProof/>
          <w:sz w:val="20"/>
          <w:szCs w:val="20"/>
          <w:lang w:eastAsia="sk-SK"/>
        </w:rPr>
        <w:pict>
          <v:shape id="Text Box 2" o:spid="_x0000_s1027" type="#_x0000_t202" style="position:absolute;left:0;text-align:left;margin-left:4.9pt;margin-top:37.4pt;width:514.25pt;height:138pt;z-index:251661312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">
            <v:textbox>
              <w:txbxContent>
                <w:p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V evidencií úradu práce ste od 1.8.2017  (14 mesiacov).  Je to Vaša štvrtá skúsenosť s evidenciou ako uchádzača o zamestnanie. </w:t>
                  </w:r>
                  <w:r>
                    <w:rPr>
                      <w:i/>
                    </w:rPr>
                    <w:t xml:space="preserve">Mate štatút znevýhodnenia na trhu práce ako občan so zmenenou pracovnou schopnosťou a aj   z hľadiska dĺžky evidencie. Ukončené máte stredné odborné vzdelanie. Doposiaľ máte krátkodobé  pracovné skúsenosti   ako pomocný pracovník.  </w:t>
                  </w:r>
                </w:p>
                <w:p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Na základe zistených informácií by ste chcel: nájsť – pomenovať aspoň 2 cieľové zamestnanie, v ktorých by ste sa mohol uplatniť, identifikovať svoje kľúčové kompetencie, získať informácie o spôsobe hľadania aktuálnych voľných pracovných miest. Vyjadril ste potrebu pomoci  pri spracovaní životopisu a žiadosti o prijatie do zamestnania. Pomoc so </w:t>
                  </w:r>
                  <w:proofErr w:type="spellStart"/>
                  <w:r>
                    <w:rPr>
                      <w:i/>
                    </w:rPr>
                    <w:t>sebaprezentáciou</w:t>
                  </w:r>
                  <w:proofErr w:type="spellEnd"/>
                  <w:r>
                    <w:rPr>
                      <w:i/>
                    </w:rPr>
                    <w:t xml:space="preserve"> na pracovných pohovoroch.</w:t>
                  </w:r>
                </w:p>
                <w:p>
                  <w:pPr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sz w:val="20"/>
          <w:szCs w:val="20"/>
        </w:rPr>
        <w:t>Bilancia kompetencií bola prispôsobená nasledovným očakávaniam a vyjadreným potrebám.</w:t>
      </w: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bookmarkStart w:id="1" w:name="_Toc390942113"/>
    </w:p>
    <w:p/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</w:p>
    <w:p>
      <w:pPr>
        <w:pStyle w:val="Nadpis1"/>
        <w:spacing w:before="240" w:after="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>3.Motivácia</w:t>
      </w:r>
    </w:p>
    <w:p>
      <w:pPr>
        <w:spacing w:after="120"/>
        <w:jc w:val="both"/>
        <w:rPr>
          <w:b/>
          <w:i/>
        </w:rPr>
      </w:pPr>
      <w:r>
        <w:rPr>
          <w:bCs/>
        </w:rPr>
        <w:t xml:space="preserve">Vo Vašom kompetenčnom portfóliu a na základe práce s použitými metódami v bilancií kompetencií uvádzate, že Vaše zručnosti sú: ukladanie, čistenie, skladanie,  udržiavanie poriadku,  zbieranie.   Rád komunikujete, snažíte sumarizovať počuté, aby ste si overil, že ste porozumel  počutému. K Vašim ďalším schopnostiam patrí: schopnosť tímovej spolupráce- viete spolupracovať  a rešpektovať názory ostatných členov tímu. Mal by ste záujem zamestnať sa v pracovnom prostredí kde by sa vykonávali nenáročné, opakujúce sa činnosti, kde by bola  pomalšia intenzita vykonávania pracovných úkonov. Vyhovovalo by Vám stabilné prostredie, kde by nedochádzalo  k zmenám, kde by ste nepracoval samostatne ale pod vedením  a kde by ste pociťoval porozumenie so strany kolektívu. K Vaším silným stránkam patrí: priateľskosť,  </w:t>
      </w:r>
      <w:proofErr w:type="spellStart"/>
      <w:r>
        <w:rPr>
          <w:bCs/>
        </w:rPr>
        <w:t>nekonfliktnosť</w:t>
      </w:r>
      <w:proofErr w:type="spellEnd"/>
      <w:r>
        <w:rPr>
          <w:bCs/>
        </w:rPr>
        <w:t xml:space="preserve">, rešpektovanie autority, trpezlivosť, empatia, dochvíľnosť.  Zamestnanie by malo byť v mieste trvalého bydliska.  Na základe zosumarizovania Vašich kompetencií ste si stanovil za 1. Cielené zamestnanie: </w:t>
      </w:r>
      <w:r>
        <w:rPr>
          <w:b/>
          <w:i/>
        </w:rPr>
        <w:t xml:space="preserve">pracovník na údržbu a čistenie verejných priestranstiev </w:t>
      </w:r>
      <w:r>
        <w:t xml:space="preserve"> a 2. Cielené zamestnanie</w:t>
      </w:r>
      <w:r>
        <w:rPr>
          <w:b/>
        </w:rPr>
        <w:t xml:space="preserve">:  </w:t>
      </w:r>
      <w:r>
        <w:rPr>
          <w:b/>
          <w:i/>
        </w:rPr>
        <w:t>pomocný pracovník na údržbu verejnej  zelene</w:t>
      </w:r>
    </w:p>
    <w:p>
      <w:pPr>
        <w:pStyle w:val="Nadpis1"/>
        <w:spacing w:before="24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4. </w:t>
      </w:r>
      <w:bookmarkEnd w:id="1"/>
      <w:r>
        <w:rPr>
          <w:rFonts w:asciiTheme="minorHAnsi" w:eastAsia="Arial" w:hAnsiTheme="minorHAnsi"/>
          <w:sz w:val="24"/>
          <w:szCs w:val="24"/>
        </w:rPr>
        <w:t>Cielené povolania</w:t>
      </w:r>
    </w:p>
    <w:p>
      <w:pPr>
        <w:spacing w:after="0"/>
        <w:rPr>
          <w:rFonts w:eastAsia="Arial" w:cs="Arial"/>
          <w:b/>
          <w:sz w:val="20"/>
        </w:rPr>
      </w:pPr>
      <w:r>
        <w:rPr>
          <w:rFonts w:eastAsia="Arial" w:cs="Arial"/>
          <w:b/>
          <w:sz w:val="24"/>
          <w:szCs w:val="24"/>
        </w:rPr>
        <w:t>Analýza získaných vedomostí, zručností a predpokladov</w:t>
      </w:r>
      <w:r>
        <w:rPr>
          <w:rFonts w:eastAsia="Arial" w:cs="Arial"/>
          <w:b/>
          <w:sz w:val="20"/>
        </w:rPr>
        <w:t>: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961"/>
        <w:gridCol w:w="3447"/>
        <w:gridCol w:w="3447"/>
      </w:tblGrid>
      <w:tr>
        <w:trPr>
          <w:trHeight w:val="121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bookmarkStart w:id="2" w:name="_Toc390942116"/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436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Názov (povolanie/zamestnanie)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</w:pPr>
            <w:r>
              <w:t>pracovník na údržbu a čistenie verejných priestranstiev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jc w:val="center"/>
            </w:pPr>
            <w:r>
              <w:t>pomocný pracovník na údržbu verejnej  zelene</w:t>
            </w:r>
          </w:p>
        </w:tc>
      </w:tr>
      <w:tr>
        <w:trPr>
          <w:trHeight w:val="172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Nadobudnuté odborné vedomosti a zručnosti 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</w:rPr>
              <w:t>ukladanie, čistenie, skladanie,  udržiavanie poriadku</w:t>
            </w:r>
            <w:r>
              <w:rPr>
                <w:sz w:val="20"/>
                <w:szCs w:val="20"/>
              </w:rPr>
              <w:t xml:space="preserve"> , zbieranie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120"/>
              <w:rPr>
                <w:sz w:val="20"/>
                <w:szCs w:val="20"/>
              </w:rPr>
            </w:pPr>
            <w:r>
              <w:rPr>
                <w:bCs/>
              </w:rPr>
              <w:t>ukladanie, čistenie, skladanie,  udržiavanie poriadku</w:t>
            </w:r>
            <w:r>
              <w:rPr>
                <w:sz w:val="20"/>
                <w:szCs w:val="20"/>
              </w:rPr>
              <w:t xml:space="preserve"> , zbieranie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Osobnostné predpoklady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</w:pPr>
            <w:r>
              <w:t xml:space="preserve">prispôsobivosť,  schopnosť nenarúšať fungovanie kolektívu,  </w:t>
            </w:r>
            <w:r>
              <w:rPr>
                <w:bCs/>
              </w:rPr>
              <w:t xml:space="preserve">priateľskosť,  </w:t>
            </w:r>
            <w:proofErr w:type="spellStart"/>
            <w:r>
              <w:rPr>
                <w:bCs/>
              </w:rPr>
              <w:t>nekonfliktnosť</w:t>
            </w:r>
            <w:proofErr w:type="spellEnd"/>
            <w:r>
              <w:rPr>
                <w:bCs/>
              </w:rPr>
              <w:t>, rešpektovanie autority, trpezlivosť, empatia, dochvíľnosť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</w:pPr>
            <w:r>
              <w:t xml:space="preserve">prispôsobivosť,  schopnosť nenarúšať fungovanie kolektívu,  </w:t>
            </w:r>
            <w:r>
              <w:rPr>
                <w:bCs/>
              </w:rPr>
              <w:t xml:space="preserve">priateľskosť,  </w:t>
            </w:r>
            <w:proofErr w:type="spellStart"/>
            <w:r>
              <w:rPr>
                <w:bCs/>
              </w:rPr>
              <w:t>nekonfliktnosť</w:t>
            </w:r>
            <w:proofErr w:type="spellEnd"/>
            <w:r>
              <w:rPr>
                <w:bCs/>
              </w:rPr>
              <w:t>, rešpektovanie autority, trpezlivosť, empatia, dochvíľnosť</w:t>
            </w:r>
          </w:p>
        </w:tc>
      </w:tr>
      <w:tr>
        <w:trPr>
          <w:trHeight w:val="1437"/>
        </w:trPr>
        <w:tc>
          <w:tcPr>
            <w:tcW w:w="1502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Vedomosti a zručnosti potrebné nadobudnúť, prekážky...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Zdravotné obmedzenie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Chýba prax</w:t>
            </w:r>
          </w:p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Nízka vzdialenostná mobilita</w:t>
            </w:r>
          </w:p>
        </w:tc>
        <w:tc>
          <w:tcPr>
            <w:tcW w:w="1749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60"/>
              <w:rPr>
                <w:sz w:val="20"/>
                <w:szCs w:val="20"/>
              </w:rPr>
            </w:pP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Zdravotné obmedzenie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Chýba prax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Doplniť RK: Zakladanie a údržba verejnej zelene</w:t>
            </w:r>
          </w:p>
          <w:p>
            <w:pPr>
              <w:spacing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Nízka vzdialenostná  mobilita</w:t>
            </w:r>
          </w:p>
          <w:p>
            <w:pPr>
              <w:ind w:firstLine="708"/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240" w:after="120"/>
        <w:ind w:right="-307"/>
        <w:rPr>
          <w:rFonts w:ascii="Calibri" w:hAnsi="Calibri"/>
          <w:sz w:val="24"/>
          <w:szCs w:val="24"/>
        </w:rPr>
      </w:pPr>
      <w:bookmarkStart w:id="3" w:name="_Toc390942114"/>
      <w:r>
        <w:rPr>
          <w:rFonts w:ascii="Calibri" w:hAnsi="Calibri"/>
          <w:sz w:val="24"/>
          <w:szCs w:val="24"/>
        </w:rPr>
        <w:lastRenderedPageBreak/>
        <w:t>5. Situácia na trhu práce</w:t>
      </w:r>
      <w:bookmarkEnd w:id="3"/>
      <w:r>
        <w:rPr>
          <w:rFonts w:ascii="Calibri" w:hAnsi="Calibri"/>
          <w:sz w:val="24"/>
          <w:szCs w:val="24"/>
        </w:rPr>
        <w:t xml:space="preserve">  </w:t>
      </w:r>
    </w:p>
    <w:tbl>
      <w:tblPr>
        <w:tblW w:w="5000" w:type="pct"/>
        <w:tblInd w:w="2" w:type="dxa"/>
        <w:tblCellMar>
          <w:left w:w="0" w:type="dxa"/>
          <w:right w:w="0" w:type="dxa"/>
        </w:tblCellMar>
        <w:tblLook w:val="00A0" w:firstRow="1" w:lastRow="0" w:firstColumn="1" w:lastColumn="0" w:noHBand="0" w:noVBand="0"/>
      </w:tblPr>
      <w:tblGrid>
        <w:gridCol w:w="2395"/>
        <w:gridCol w:w="3731"/>
        <w:gridCol w:w="3729"/>
      </w:tblGrid>
      <w:tr>
        <w:trPr>
          <w:trHeight w:val="7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 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1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bCs/>
                <w:color w:val="FFFFFF"/>
                <w:sz w:val="24"/>
                <w:szCs w:val="24"/>
              </w:rPr>
              <w:t>Alternatíva 2</w:t>
            </w:r>
          </w:p>
        </w:tc>
      </w:tr>
      <w:tr>
        <w:trPr>
          <w:trHeight w:val="886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Potenciálni zamestnávatelia v regióne: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Mesto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Technické služby mesta Gelnica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obecné úrady v okrese</w:t>
            </w:r>
          </w:p>
          <w:p>
            <w:pPr>
              <w:spacing w:after="0" w:line="360" w:lineRule="auto"/>
              <w:rPr>
                <w:sz w:val="20"/>
                <w:szCs w:val="20"/>
              </w:rPr>
            </w:pP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Mesto Gelnica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Technické služby mesta Gelnica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Všetky obecné úrady v okrese</w:t>
            </w:r>
          </w:p>
        </w:tc>
      </w:tr>
      <w:tr>
        <w:trPr>
          <w:trHeight w:val="955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Počet pracovných ponúk: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tabs>
                <w:tab w:val="left" w:pos="81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okrese Gelnica -  2</w:t>
            </w:r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V okrese Gelnica k 29.7.2019 nie sú zverejnené pracovné ponuky</w:t>
            </w:r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Košice - k 29.7.2019 nie sú zverejnené pracovné ponuky</w:t>
            </w:r>
          </w:p>
        </w:tc>
      </w:tr>
      <w:tr>
        <w:trPr>
          <w:trHeight w:val="661"/>
        </w:trPr>
        <w:tc>
          <w:tcPr>
            <w:tcW w:w="1215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Aspoň 2 konkrétne pracovné ponuky (</w:t>
            </w:r>
            <w:proofErr w:type="spellStart"/>
            <w:r>
              <w:rPr>
                <w:b/>
                <w:bCs/>
                <w:sz w:val="24"/>
                <w:szCs w:val="24"/>
              </w:rPr>
              <w:t>ISTP.sk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alebo iné): </w:t>
            </w:r>
          </w:p>
        </w:tc>
        <w:tc>
          <w:tcPr>
            <w:tcW w:w="1893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pStyle w:val="Normlnywebov"/>
              <w:shd w:val="clear" w:color="auto" w:fill="F8FAFC"/>
              <w:spacing w:before="0" w:beforeAutospacing="0" w:after="0" w:afterAutospacing="0" w:line="360" w:lineRule="atLeas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Obec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Veľký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Folkmár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zberač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odpadu</w:t>
            </w:r>
            <w:proofErr w:type="spellEnd"/>
          </w:p>
          <w:p>
            <w:pPr>
              <w:pStyle w:val="Normlnywebov"/>
              <w:shd w:val="clear" w:color="auto" w:fill="F8FAFC"/>
              <w:spacing w:before="0" w:beforeAutospacing="0" w:after="0" w:afterAutospacing="0" w:line="360" w:lineRule="atLeast"/>
              <w:rPr>
                <w:rFonts w:asciiTheme="minorHAnsi" w:hAnsi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Obec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Jaklovce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–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zberač</w:t>
            </w:r>
            <w:proofErr w:type="spellEnd"/>
            <w:r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Theme="minorHAnsi" w:hAnsiTheme="minorHAnsi"/>
                <w:sz w:val="20"/>
                <w:szCs w:val="20"/>
              </w:rPr>
              <w:t>odpadu</w:t>
            </w:r>
            <w:proofErr w:type="spellEnd"/>
          </w:p>
        </w:tc>
        <w:tc>
          <w:tcPr>
            <w:tcW w:w="189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rPr>
                <w:sz w:val="20"/>
                <w:szCs w:val="20"/>
              </w:rPr>
            </w:pPr>
          </w:p>
        </w:tc>
      </w:tr>
    </w:tbl>
    <w:p>
      <w:pPr>
        <w:pStyle w:val="Nadpis1"/>
        <w:spacing w:before="0" w:after="0"/>
        <w:rPr>
          <w:rFonts w:asciiTheme="minorHAnsi" w:eastAsia="Arial" w:hAnsiTheme="minorHAnsi"/>
          <w:sz w:val="32"/>
        </w:rPr>
      </w:pPr>
    </w:p>
    <w:p>
      <w:pPr>
        <w:pStyle w:val="Nadpis1"/>
        <w:spacing w:before="0" w:after="0"/>
        <w:rPr>
          <w:rFonts w:asciiTheme="minorHAnsi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t xml:space="preserve">6. Vykonané aktivity </w:t>
      </w:r>
      <w:bookmarkEnd w:id="2"/>
      <w:r>
        <w:rPr>
          <w:rFonts w:asciiTheme="minorHAnsi" w:eastAsia="Arial" w:hAnsiTheme="minorHAnsi"/>
          <w:sz w:val="24"/>
          <w:szCs w:val="24"/>
        </w:rPr>
        <w:t>v oblasti kontaktu s trhom práce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8"/>
        <w:gridCol w:w="2040"/>
        <w:gridCol w:w="1896"/>
        <w:gridCol w:w="2891"/>
      </w:tblGrid>
      <w:tr>
        <w:trPr>
          <w:trHeight w:val="293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rFonts w:eastAsia="Arial"/>
                <w:color w:val="FFFFFF" w:themeColor="background1"/>
                <w:sz w:val="20"/>
                <w:szCs w:val="28"/>
              </w:rPr>
              <w:br w:type="page"/>
            </w:r>
            <w:r>
              <w:rPr>
                <w:b/>
                <w:bCs/>
                <w:color w:val="FFFFFF" w:themeColor="background1"/>
                <w:sz w:val="20"/>
                <w:szCs w:val="28"/>
              </w:rPr>
              <w:t>Vyvinuté aktivity (ukončené alebo v priebehu)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Dátum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Cieľ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20"/>
                <w:szCs w:val="28"/>
              </w:rPr>
            </w:pPr>
            <w:r>
              <w:rPr>
                <w:b/>
                <w:bCs/>
                <w:color w:val="FFFFFF" w:themeColor="background1"/>
                <w:sz w:val="20"/>
                <w:szCs w:val="28"/>
              </w:rPr>
              <w:t>Detailný popis dosiahnutých výsledkov (získané informácie, kontakty)</w:t>
            </w:r>
          </w:p>
        </w:tc>
      </w:tr>
      <w:tr>
        <w:trPr>
          <w:trHeight w:val="161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Vyhľadanie zamestnávateľov v regióne 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Vyhľadávanie pracovných ponúk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12.6. –29.7.2019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</w:pPr>
            <w:r>
              <w:t xml:space="preserve">Vypracovať si zoznam </w:t>
            </w:r>
            <w:proofErr w:type="spellStart"/>
            <w:r>
              <w:t>potencionálnych</w:t>
            </w:r>
            <w:proofErr w:type="spellEnd"/>
            <w:r>
              <w:t xml:space="preserve"> zamestnávateľov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Vypracoval si zoznam vyhľadaných zamestnávateľov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Vyhľadal 2 pracovné ponuky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</w:pPr>
            <w:r>
              <w:t>Vypracovanie  životopisu + žiadosť o prijatie do zamestnania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15.7. - 23.7.2019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</w:pPr>
            <w:r>
              <w:t>Vypracovať, štruktúrovaný životopis + žiadosť o prijatie do zamestnania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 spolupráci s poradcom  si vypracoval životopis a žiadosť o prijatie do zamestnania</w:t>
            </w:r>
          </w:p>
        </w:tc>
      </w:tr>
      <w:tr>
        <w:trPr>
          <w:trHeight w:val="134"/>
        </w:trPr>
        <w:tc>
          <w:tcPr>
            <w:tcW w:w="1536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Nácvik pracovného pohovoru</w:t>
            </w:r>
          </w:p>
        </w:tc>
        <w:tc>
          <w:tcPr>
            <w:tcW w:w="1035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15.8.2019</w:t>
            </w:r>
          </w:p>
        </w:tc>
        <w:tc>
          <w:tcPr>
            <w:tcW w:w="962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ind w:right="-1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zručnosti potrebné pre úspešné uchádzanie sa o zamestnanie</w:t>
            </w:r>
          </w:p>
        </w:tc>
        <w:tc>
          <w:tcPr>
            <w:tcW w:w="146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16"/>
                <w:szCs w:val="16"/>
              </w:rPr>
            </w:pPr>
            <w:r>
              <w:rPr>
                <w:sz w:val="20"/>
                <w:szCs w:val="20"/>
              </w:rPr>
              <w:t>Na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20"/>
                <w:szCs w:val="20"/>
              </w:rPr>
              <w:t>modelovej situácií  si osvojil zručnosti</w:t>
            </w:r>
          </w:p>
        </w:tc>
      </w:tr>
    </w:tbl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bookmarkStart w:id="4" w:name="_Toc390942119"/>
    </w:p>
    <w:p/>
    <w:p>
      <w:pPr>
        <w:pStyle w:val="Nadpis1"/>
        <w:spacing w:before="120" w:after="120"/>
        <w:rPr>
          <w:rFonts w:asciiTheme="minorHAnsi" w:eastAsia="Arial" w:hAnsiTheme="minorHAnsi"/>
          <w:sz w:val="24"/>
          <w:szCs w:val="24"/>
        </w:rPr>
      </w:pPr>
      <w:r>
        <w:rPr>
          <w:rFonts w:asciiTheme="minorHAnsi" w:eastAsia="Arial" w:hAnsiTheme="minorHAnsi"/>
          <w:sz w:val="24"/>
          <w:szCs w:val="24"/>
        </w:rPr>
        <w:lastRenderedPageBreak/>
        <w:t>7. Akčný plán</w:t>
      </w:r>
      <w:bookmarkEnd w:id="4"/>
      <w:r>
        <w:rPr>
          <w:rFonts w:asciiTheme="minorHAnsi" w:eastAsia="Arial" w:hAnsiTheme="minorHAnsi"/>
          <w:sz w:val="24"/>
          <w:szCs w:val="24"/>
        </w:rPr>
        <w:t xml:space="preserve"> pre uplatnenie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  <w:r>
        <w:rPr>
          <w:rFonts w:asciiTheme="minorHAnsi" w:eastAsia="Arial" w:hAnsiTheme="minorHAnsi"/>
          <w:sz w:val="24"/>
          <w:szCs w:val="24"/>
        </w:rPr>
        <w:t xml:space="preserve"> na trhu práce</w:t>
      </w:r>
    </w:p>
    <w:p>
      <w:pPr>
        <w:jc w:val="both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Poznámka: Akčný musí obsahovať popis plánovaných aktivít DN </w:t>
      </w:r>
      <w:proofErr w:type="spellStart"/>
      <w:r>
        <w:rPr>
          <w:i/>
          <w:sz w:val="16"/>
          <w:szCs w:val="16"/>
        </w:rPr>
        <w:t>UoZ</w:t>
      </w:r>
      <w:proofErr w:type="spellEnd"/>
      <w:r>
        <w:rPr>
          <w:i/>
          <w:sz w:val="16"/>
          <w:szCs w:val="16"/>
        </w:rPr>
        <w:t xml:space="preserve"> na obdobie najmenej 3 </w:t>
      </w:r>
      <w:proofErr w:type="spellStart"/>
      <w:r>
        <w:rPr>
          <w:i/>
          <w:sz w:val="16"/>
          <w:szCs w:val="16"/>
        </w:rPr>
        <w:t>mesiacovpo</w:t>
      </w:r>
      <w:proofErr w:type="spellEnd"/>
      <w:r>
        <w:rPr>
          <w:i/>
          <w:sz w:val="16"/>
          <w:szCs w:val="16"/>
        </w:rPr>
        <w:t xml:space="preserve"> ukončení 1. etapy bilancie kompetencií, pričom aspoň jedna z  </w:t>
      </w:r>
      <w:proofErr w:type="spellStart"/>
      <w:r>
        <w:rPr>
          <w:i/>
          <w:sz w:val="16"/>
          <w:szCs w:val="16"/>
        </w:rPr>
        <w:t>zamestnanienich</w:t>
      </w:r>
      <w:proofErr w:type="spellEnd"/>
      <w:r>
        <w:rPr>
          <w:i/>
          <w:sz w:val="16"/>
          <w:szCs w:val="16"/>
        </w:rPr>
        <w:t xml:space="preserve"> musí byť termínovaná do 14 kalendárnych dní od ukončenia 1. etapy Bilancie kompetencií.  </w:t>
      </w:r>
    </w:p>
    <w:tbl>
      <w:tblPr>
        <w:tblW w:w="5000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6"/>
        <w:gridCol w:w="5014"/>
        <w:gridCol w:w="3325"/>
      </w:tblGrid>
      <w:tr>
        <w:trPr>
          <w:trHeight w:val="219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Termín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Aktivita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1B587C"/>
            <w:tcMar>
              <w:top w:w="57" w:type="dxa"/>
              <w:left w:w="108" w:type="dxa"/>
              <w:bottom w:w="57" w:type="dxa"/>
              <w:right w:w="108" w:type="dxa"/>
            </w:tcMar>
            <w:vAlign w:val="center"/>
            <w:hideMark/>
          </w:tcPr>
          <w:p>
            <w:pPr>
              <w:spacing w:after="0"/>
              <w:jc w:val="center"/>
              <w:rPr>
                <w:color w:val="FFFFFF" w:themeColor="background1"/>
                <w:sz w:val="16"/>
                <w:szCs w:val="16"/>
              </w:rPr>
            </w:pPr>
            <w:r>
              <w:rPr>
                <w:b/>
                <w:bCs/>
                <w:color w:val="FFFFFF" w:themeColor="background1"/>
                <w:sz w:val="16"/>
                <w:szCs w:val="16"/>
              </w:rPr>
              <w:t>Kritériá plnenia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jc w:val="center"/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Do12.8.2019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Vyhľadať 2 pracovné ponuky 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Osobné uchádzanie o zamestnanie: Obecný úrad Jaklovce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návyk vyhľadávať pravidelne VPM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Doručiť životopis a žiadosť zamestnávateľovi, overiť si prezentáciu u zamestnávateľa</w:t>
            </w:r>
          </w:p>
        </w:tc>
      </w:tr>
      <w:tr>
        <w:trPr>
          <w:trHeight w:val="187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Do12.9.2019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</w:pPr>
            <w:r>
              <w:t>Nájsť vzdelávaciu inštitúciu, ktorá realizuje kurz: Zakladanie a údržba verejnej zelene/ zistiť podmienky zaradenia na kurz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 xml:space="preserve">Informovať sa na </w:t>
            </w:r>
            <w:proofErr w:type="spellStart"/>
            <w:r>
              <w:t>úpsvr</w:t>
            </w:r>
            <w:proofErr w:type="spellEnd"/>
            <w:r>
              <w:t xml:space="preserve">  o možnosti vykonávať dobrovoľnícku službu</w:t>
            </w:r>
          </w:p>
          <w:p>
            <w:pPr>
              <w:spacing w:after="0"/>
            </w:pPr>
          </w:p>
          <w:p>
            <w:pPr>
              <w:spacing w:after="0"/>
            </w:pPr>
            <w:r>
              <w:t>Doručiť 2 žiadosti o prijatie do zamestnania +životopis – vyhľadaným zamestnávateľom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Podať si požiadavku na </w:t>
            </w:r>
            <w:proofErr w:type="spellStart"/>
            <w:r>
              <w:rPr>
                <w:sz w:val="20"/>
                <w:szCs w:val="20"/>
              </w:rPr>
              <w:t>úpsvr</w:t>
            </w:r>
            <w:proofErr w:type="spellEnd"/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Získať prax, pracovné návyky</w:t>
            </w:r>
          </w:p>
          <w:p>
            <w:pPr>
              <w:spacing w:after="0"/>
              <w:rPr>
                <w:sz w:val="20"/>
                <w:szCs w:val="20"/>
              </w:rPr>
            </w:pP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Osloviť čo najviac zamestnávateľov, prehĺbiť si zručnosti uchádzania sa o zamestnanie</w:t>
            </w:r>
          </w:p>
        </w:tc>
      </w:tr>
      <w:tr>
        <w:trPr>
          <w:trHeight w:val="254"/>
          <w:jc w:val="center"/>
        </w:trPr>
        <w:tc>
          <w:tcPr>
            <w:tcW w:w="769" w:type="pct"/>
            <w:tcBorders>
              <w:top w:val="single" w:sz="8" w:space="0" w:color="1B587C"/>
              <w:left w:val="single" w:sz="8" w:space="0" w:color="1B587C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Do12.11.2019</w:t>
            </w:r>
          </w:p>
        </w:tc>
        <w:tc>
          <w:tcPr>
            <w:tcW w:w="2544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4" w:space="0" w:color="002060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Sledovať zverejnené voľné pracovné miesta</w:t>
            </w:r>
          </w:p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Osobné/písomné uchádzanie o zamestnanie </w:t>
            </w:r>
          </w:p>
          <w:p>
            <w:pPr>
              <w:pStyle w:val="Odsekzoznamu"/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2x na 1.cieľové zamestnanie</w:t>
            </w:r>
          </w:p>
          <w:p>
            <w:pPr>
              <w:pStyle w:val="Odsekzoznamu"/>
              <w:spacing w:after="0"/>
            </w:pPr>
            <w:r>
              <w:rPr>
                <w:sz w:val="20"/>
                <w:szCs w:val="20"/>
              </w:rPr>
              <w:t xml:space="preserve">2x na 2.cieľové zamestnanie </w:t>
            </w:r>
          </w:p>
        </w:tc>
        <w:tc>
          <w:tcPr>
            <w:tcW w:w="1687" w:type="pct"/>
            <w:tcBorders>
              <w:top w:val="single" w:sz="8" w:space="0" w:color="1B587C"/>
              <w:left w:val="single" w:sz="4" w:space="0" w:color="002060"/>
              <w:bottom w:val="single" w:sz="8" w:space="0" w:color="1B587C"/>
              <w:right w:val="single" w:sz="8" w:space="0" w:color="1B587C"/>
            </w:tcBorders>
            <w:shd w:val="clear" w:color="auto" w:fill="FFFFFF"/>
            <w:tcMar>
              <w:top w:w="57" w:type="dxa"/>
              <w:left w:w="108" w:type="dxa"/>
              <w:bottom w:w="57" w:type="dxa"/>
              <w:right w:w="108" w:type="dxa"/>
            </w:tcMar>
          </w:tcPr>
          <w:p>
            <w:pPr>
              <w:spacing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Osloviť čo najviac </w:t>
            </w:r>
            <w:proofErr w:type="spellStart"/>
            <w:r>
              <w:rPr>
                <w:sz w:val="20"/>
                <w:szCs w:val="20"/>
              </w:rPr>
              <w:t>potencionálnych</w:t>
            </w:r>
            <w:proofErr w:type="spellEnd"/>
            <w:r>
              <w:rPr>
                <w:sz w:val="20"/>
                <w:szCs w:val="20"/>
              </w:rPr>
              <w:t xml:space="preserve"> zamestnávateľov, využiť aj   sezónne práce , získať zamestnanie, zúčastniť sa výberových konaní, o výsledkoch  informovať svoju sprostredkovateľku</w:t>
            </w:r>
          </w:p>
        </w:tc>
      </w:tr>
    </w:tbl>
    <w:p>
      <w:pPr>
        <w:pStyle w:val="Nadpis1"/>
        <w:spacing w:before="120" w:after="0"/>
        <w:rPr>
          <w:rFonts w:asciiTheme="minorHAnsi" w:eastAsia="Arial" w:hAnsiTheme="minorHAnsi"/>
          <w:sz w:val="16"/>
          <w:szCs w:val="16"/>
        </w:rPr>
      </w:pPr>
      <w:bookmarkStart w:id="5" w:name="_Toc390942117"/>
      <w:r>
        <w:rPr>
          <w:b w:val="0"/>
          <w:noProof/>
          <w:sz w:val="24"/>
          <w:szCs w:val="24"/>
          <w:lang w:eastAsia="sk-SK"/>
        </w:rPr>
        <w:pict>
          <v:shape id="_x0000_s1028" type="#_x0000_t202" style="position:absolute;margin-left:-12.6pt;margin-top:33.15pt;width:525.75pt;height:123.6pt;z-index:251662336;visibility:visible;mso-wrap-distance-left:9pt;mso-wrap-distance-top:3.6pt;mso-wrap-distance-right:9pt;mso-wrap-distance-bottom:3.6pt;mso-position-horizontal:absolute;mso-position-horizontal-relative:margin;mso-position-vertical:absolute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">
            <v:textbox style="mso-next-textbox:#_x0000_s1028">
              <w:txbxContent>
                <w:p>
                  <w:pPr>
                    <w:jc w:val="both"/>
                    <w:rPr>
                      <w:i/>
                    </w:rPr>
                  </w:pPr>
                  <w:r>
                    <w:rPr>
                      <w:i/>
                    </w:rPr>
                    <w:t xml:space="preserve">Pán </w:t>
                  </w:r>
                  <w:proofErr w:type="spellStart"/>
                  <w:r>
                    <w:rPr>
                      <w:i/>
                    </w:rPr>
                    <w:t>Piatnica</w:t>
                  </w:r>
                  <w:proofErr w:type="spellEnd"/>
                  <w:r>
                    <w:rPr>
                      <w:i/>
                    </w:rPr>
                    <w:t xml:space="preserve">   odporúčam Vám pokračovať v sledovaní pracovných ponúk. Zvýšiť aktivity – osobne a písomne kontaktovať zamestnávateľov. Pravidelne si aktualizovať životopis. Uchádzať sa o pracovné miesto aj u zamestnávateľov, ktorí nemajú zverejnené voľné miesta.  </w:t>
                  </w:r>
                  <w:r>
                    <w:rPr>
                      <w:i/>
                    </w:rPr>
                    <w:t xml:space="preserve">Prijať prácu aj na </w:t>
                  </w:r>
                  <w:bookmarkStart w:id="6" w:name="_GoBack"/>
                  <w:bookmarkEnd w:id="6"/>
                  <w:r>
                    <w:rPr>
                      <w:i/>
                    </w:rPr>
                    <w:t xml:space="preserve">sezónne práce, práce vykonávané na základe </w:t>
                  </w:r>
                  <w:proofErr w:type="spellStart"/>
                  <w:r>
                    <w:rPr>
                      <w:i/>
                    </w:rPr>
                    <w:t>DoVP</w:t>
                  </w:r>
                  <w:proofErr w:type="spellEnd"/>
                  <w:r>
                    <w:rPr>
                      <w:i/>
                    </w:rPr>
                    <w:t xml:space="preserve">, aby bolo možné deklarovať prax. Absolvovať čo najviac pracovných pohovorov, aby sa Vám   zlepšila schopnosť ponúkať sa na trhu práce. Ďalej  Vám odporúčam  absolvovať rekvalifikáciu, čo prispeje k zvýšeniu šance na zamestnanie. Ďalej Vám odporúčam vzhľadom k Vášmu zdravotnému obmedzeniu informovať sa na </w:t>
                  </w:r>
                  <w:proofErr w:type="spellStart"/>
                  <w:r>
                    <w:rPr>
                      <w:i/>
                    </w:rPr>
                    <w:t>úpsvr</w:t>
                  </w:r>
                  <w:proofErr w:type="spellEnd"/>
                  <w:r>
                    <w:rPr>
                      <w:i/>
                    </w:rPr>
                    <w:t xml:space="preserve"> na možnosť zamestnať sa v chránenej dielni, resp. informovať sa o možnosti zamestnať sa na podporovanom pracovnom mieste.</w:t>
                  </w:r>
                </w:p>
                <w:p>
                  <w:pPr>
                    <w:jc w:val="both"/>
                    <w:rPr>
                      <w:i/>
                    </w:rPr>
                  </w:pPr>
                </w:p>
                <w:p>
                  <w:pPr>
                    <w:rPr>
                      <w:sz w:val="20"/>
                      <w:szCs w:val="20"/>
                    </w:rPr>
                  </w:pPr>
                  <w:r>
                    <w:rPr>
                      <w:i/>
                    </w:rPr>
                    <w:t xml:space="preserve">na základe ukončeného vzdelania by chcel pracovať ako pomocný stavebný robotník, resp. pomocné administratívne práce. Pre udržanie motivácie menovaného odporúčam pravidelný kontakt s odborným zamestnancom </w:t>
                  </w:r>
                  <w:proofErr w:type="spellStart"/>
                  <w:r>
                    <w:rPr>
                      <w:i/>
                    </w:rPr>
                    <w:t>ÚPSVaR</w:t>
                  </w:r>
                  <w:proofErr w:type="spellEnd"/>
                  <w:r>
                    <w:rPr>
                      <w:i/>
                    </w:rPr>
                    <w:t xml:space="preserve"> a osobné, ako aj písomné kontaktovanie potenciálnych zamestnávateľov.</w:t>
                  </w:r>
                  <w:r>
                    <w:t xml:space="preserve"> Poradca BK odporúča pravidelné stretnutia s odborným poradcom </w:t>
                  </w:r>
                  <w:proofErr w:type="spellStart"/>
                  <w:r>
                    <w:t>UPSVaR</w:t>
                  </w:r>
                  <w:proofErr w:type="spellEnd"/>
                  <w:r>
                    <w:t xml:space="preserve"> s cieľom získania práce v hore uvedených pracovných pozíciách</w:t>
                  </w:r>
                </w:p>
                <w:p>
                  <w:pPr>
                    <w:rPr>
                      <w:i/>
                    </w:rPr>
                  </w:pPr>
                </w:p>
              </w:txbxContent>
            </v:textbox>
            <w10:wrap type="square" anchorx="margin"/>
          </v:shape>
        </w:pict>
      </w:r>
      <w:r>
        <w:rPr>
          <w:rFonts w:asciiTheme="minorHAnsi" w:eastAsia="Arial" w:hAnsiTheme="minorHAnsi"/>
          <w:sz w:val="24"/>
          <w:szCs w:val="24"/>
        </w:rPr>
        <w:t>8.</w:t>
      </w:r>
      <w:r>
        <w:rPr>
          <w:rFonts w:asciiTheme="minorHAnsi" w:eastAsia="Arial" w:hAnsiTheme="minorHAnsi"/>
          <w:sz w:val="16"/>
          <w:szCs w:val="16"/>
        </w:rPr>
        <w:t xml:space="preserve"> </w:t>
      </w:r>
      <w:bookmarkEnd w:id="5"/>
      <w:r>
        <w:rPr>
          <w:rFonts w:asciiTheme="minorHAnsi" w:eastAsia="Arial" w:hAnsiTheme="minorHAnsi"/>
          <w:sz w:val="16"/>
          <w:szCs w:val="16"/>
        </w:rPr>
        <w:t>I</w:t>
      </w:r>
      <w:r>
        <w:rPr>
          <w:rFonts w:asciiTheme="minorHAnsi" w:eastAsia="Arial" w:hAnsiTheme="minorHAnsi"/>
          <w:sz w:val="24"/>
          <w:szCs w:val="24"/>
        </w:rPr>
        <w:t xml:space="preserve">ndividualizované odporúčania pre DN </w:t>
      </w:r>
      <w:proofErr w:type="spellStart"/>
      <w:r>
        <w:rPr>
          <w:rFonts w:asciiTheme="minorHAnsi" w:eastAsia="Arial" w:hAnsiTheme="minorHAnsi"/>
          <w:sz w:val="24"/>
          <w:szCs w:val="24"/>
        </w:rPr>
        <w:t>UoZ</w:t>
      </w:r>
      <w:proofErr w:type="spellEnd"/>
    </w:p>
    <w:p/>
    <w:p>
      <w:r>
        <w:t xml:space="preserve">Bola identifikovaná potreba vzdelávania: </w:t>
      </w:r>
      <w:proofErr w:type="spellStart"/>
      <w:r>
        <w:t>Xáno</w:t>
      </w:r>
      <w:proofErr w:type="spellEnd"/>
      <w:r>
        <w:t xml:space="preserve"> </w:t>
      </w:r>
      <w:sdt>
        <w:sdtPr>
          <w:id w:val="-1691526375"/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>nie</w:t>
      </w:r>
    </w:p>
    <w:p>
      <w:r>
        <w:rPr>
          <w:sz w:val="24"/>
          <w:szCs w:val="24"/>
        </w:rPr>
        <w:t>Odporúčané vzdelávanie:</w:t>
      </w:r>
      <w:r>
        <w:t xml:space="preserve"> </w:t>
      </w:r>
      <w:r>
        <w:rPr>
          <w:sz w:val="20"/>
          <w:szCs w:val="20"/>
        </w:rPr>
        <w:t>Zakladanie a údržba verejnej zelene</w:t>
      </w:r>
    </w:p>
    <w:sectPr>
      <w:headerReference w:type="default" r:id="rId8"/>
      <w:footerReference w:type="default" r:id="rId9"/>
      <w:pgSz w:w="11906" w:h="16838"/>
      <w:pgMar w:top="1417" w:right="1700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tabs>
        <w:tab w:val="center" w:pos="4536"/>
        <w:tab w:val="right" w:pos="9072"/>
      </w:tabs>
      <w:spacing w:after="0" w:line="240" w:lineRule="auto"/>
      <w:jc w:val="center"/>
      <w:rPr>
        <w:rFonts w:ascii="Times New Roman" w:hAnsi="Times New Roman"/>
        <w:bCs/>
        <w:i/>
        <w:sz w:val="18"/>
        <w:szCs w:val="18"/>
        <w:lang w:eastAsia="cs-CZ"/>
      </w:rPr>
    </w:pPr>
    <w:r>
      <w:tab/>
    </w:r>
    <w:r>
      <w:rPr>
        <w:rFonts w:ascii="Times New Roman" w:hAnsi="Times New Roman"/>
        <w:bCs/>
        <w:i/>
        <w:sz w:val="18"/>
        <w:szCs w:val="18"/>
        <w:lang w:eastAsia="cs-CZ"/>
      </w:rPr>
      <w:t>Tento projekt sa realizuje vďaka podpore z Európskeho sociálneho fondu v rámci Operačného programu Ľudské zdroje</w:t>
    </w:r>
  </w:p>
  <w:p>
    <w:pPr>
      <w:tabs>
        <w:tab w:val="left" w:pos="2871"/>
      </w:tabs>
      <w:spacing w:after="0" w:line="240" w:lineRule="auto"/>
      <w:jc w:val="center"/>
      <w:rPr>
        <w:rFonts w:ascii="Times New Roman" w:hAnsi="Times New Roman"/>
        <w:i/>
        <w:sz w:val="18"/>
        <w:szCs w:val="18"/>
        <w:lang w:eastAsia="sk-SK"/>
      </w:rPr>
    </w:pP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www.employment.gov.sk</w:t>
    </w:r>
    <w:proofErr w:type="spellEnd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 xml:space="preserve"> / </w:t>
    </w:r>
    <w:proofErr w:type="spellStart"/>
    <w:r>
      <w:rPr>
        <w:rFonts w:ascii="Times New Roman" w:hAnsi="Times New Roman"/>
        <w:bCs/>
        <w:i/>
        <w:color w:val="4F81BD"/>
        <w:sz w:val="18"/>
        <w:szCs w:val="18"/>
        <w:lang w:eastAsia="cs-CZ"/>
      </w:rPr>
      <w:t>www.esf.gov.sk</w:t>
    </w:r>
    <w:proofErr w:type="spellEnd"/>
  </w:p>
  <w:p>
    <w:pPr>
      <w:pStyle w:val="Pta"/>
      <w:jc w:val="right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                Strana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PAGE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  <w:r>
      <w:rPr>
        <w:rFonts w:ascii="Times New Roman" w:hAnsi="Times New Roman"/>
        <w:sz w:val="16"/>
        <w:szCs w:val="16"/>
      </w:rPr>
      <w:t xml:space="preserve"> z </w:t>
    </w:r>
    <w:r>
      <w:rPr>
        <w:rFonts w:ascii="Times New Roman" w:hAnsi="Times New Roman"/>
        <w:sz w:val="16"/>
        <w:szCs w:val="16"/>
      </w:rPr>
      <w:fldChar w:fldCharType="begin"/>
    </w:r>
    <w:r>
      <w:rPr>
        <w:rFonts w:ascii="Times New Roman" w:hAnsi="Times New Roman"/>
        <w:sz w:val="16"/>
        <w:szCs w:val="16"/>
      </w:rPr>
      <w:instrText xml:space="preserve"> NUMPAGES </w:instrText>
    </w:r>
    <w:r>
      <w:rPr>
        <w:rFonts w:ascii="Times New Roman" w:hAnsi="Times New Roman"/>
        <w:sz w:val="16"/>
        <w:szCs w:val="16"/>
      </w:rPr>
      <w:fldChar w:fldCharType="separate"/>
    </w:r>
    <w:r>
      <w:rPr>
        <w:rFonts w:ascii="Times New Roman" w:hAnsi="Times New Roman"/>
        <w:noProof/>
        <w:sz w:val="16"/>
        <w:szCs w:val="16"/>
      </w:rPr>
      <w:t>4</w:t>
    </w:r>
    <w:r>
      <w:rPr>
        <w:rFonts w:ascii="Times New Roman" w:hAnsi="Times New Roman"/>
        <w:sz w:val="16"/>
        <w:szCs w:val="16"/>
      </w:rPr>
      <w:fldChar w:fldCharType="end"/>
    </w:r>
  </w:p>
  <w:p>
    <w:pPr>
      <w:pStyle w:val="Pt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lavika1"/>
    </w:pPr>
    <w:r>
      <w:rPr>
        <w:noProof/>
        <w:lang w:val="sk-SK" w:eastAsia="sk-SK"/>
      </w:rPr>
      <w:drawing>
        <wp:inline distT="0" distB="8890" distL="0" distR="0">
          <wp:extent cx="4993640" cy="429260"/>
          <wp:effectExtent l="19050" t="0" r="0" b="0"/>
          <wp:docPr id="68" name="Obrázok 1" descr="Popis: C:\Users\popadakoval\AppData\Local\Microsoft\Windows\Temporary Internet Files\Content.Outlook\0HQSK5H1\oplz+eu_1 ku 5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brázok 1" descr="Popis: C:\Users\popadakoval\AppData\Local\Microsoft\Windows\Temporary Internet Files\Content.Outlook\0HQSK5H1\oplz+eu_1 ku 5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993640" cy="4292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 xml:space="preserve">NP </w:t>
    </w:r>
    <w:proofErr w:type="spellStart"/>
    <w:r>
      <w:rPr>
        <w:rFonts w:ascii="Times New Roman" w:hAnsi="Times New Roman"/>
        <w:sz w:val="18"/>
        <w:szCs w:val="18"/>
      </w:rPr>
      <w:t>Podpora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individualizovaného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poradenstva</w:t>
    </w:r>
    <w:proofErr w:type="spellEnd"/>
  </w:p>
  <w:p>
    <w:pPr>
      <w:pStyle w:val="Hlavika1"/>
      <w:jc w:val="right"/>
      <w:rPr>
        <w:rFonts w:ascii="Times New Roman" w:hAnsi="Times New Roman"/>
        <w:sz w:val="18"/>
        <w:szCs w:val="18"/>
      </w:rPr>
    </w:pPr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  <w:proofErr w:type="gramStart"/>
    <w:r>
      <w:rPr>
        <w:rFonts w:ascii="Times New Roman" w:hAnsi="Times New Roman"/>
        <w:sz w:val="18"/>
        <w:szCs w:val="18"/>
      </w:rPr>
      <w:t>pre</w:t>
    </w:r>
    <w:proofErr w:type="gram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dlhodobo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nezamestnaných</w:t>
    </w:r>
    <w:proofErr w:type="spellEnd"/>
    <w:r>
      <w:rPr>
        <w:rFonts w:ascii="Times New Roman" w:hAnsi="Times New Roman"/>
        <w:sz w:val="18"/>
        <w:szCs w:val="18"/>
      </w:rPr>
      <w:t xml:space="preserve"> </w:t>
    </w:r>
    <w:proofErr w:type="spellStart"/>
    <w:r>
      <w:rPr>
        <w:rFonts w:ascii="Times New Roman" w:hAnsi="Times New Roman"/>
        <w:sz w:val="18"/>
        <w:szCs w:val="18"/>
      </w:rPr>
      <w:t>UoZ</w:t>
    </w:r>
    <w:proofErr w:type="spellEnd"/>
    <w:r>
      <w:rPr>
        <w:rFonts w:ascii="Times New Roman" w:hAnsi="Times New Roman"/>
        <w:sz w:val="18"/>
        <w:szCs w:val="18"/>
      </w:rPr>
      <w:tab/>
    </w:r>
    <w:r>
      <w:rPr>
        <w:rFonts w:ascii="Times New Roman" w:hAnsi="Times New Roman"/>
        <w:sz w:val="18"/>
        <w:szCs w:val="18"/>
      </w:rPr>
      <w:tab/>
    </w:r>
  </w:p>
  <w:p>
    <w:pPr>
      <w:pStyle w:val="Hlavika1"/>
      <w:jc w:val="right"/>
      <w:rPr>
        <w:rFonts w:ascii="Times New Roman" w:hAnsi="Times New Roman"/>
        <w:sz w:val="18"/>
        <w:szCs w:val="18"/>
      </w:rPr>
    </w:pPr>
    <w:proofErr w:type="spellStart"/>
    <w:r>
      <w:rPr>
        <w:rFonts w:ascii="Times New Roman" w:hAnsi="Times New Roman"/>
        <w:sz w:val="18"/>
        <w:szCs w:val="18"/>
      </w:rPr>
      <w:t>Kód</w:t>
    </w:r>
    <w:proofErr w:type="spellEnd"/>
    <w:r>
      <w:rPr>
        <w:rFonts w:ascii="Times New Roman" w:hAnsi="Times New Roman"/>
        <w:sz w:val="18"/>
        <w:szCs w:val="18"/>
      </w:rPr>
      <w:t xml:space="preserve"> ITMS2014+: </w:t>
    </w:r>
    <w:r>
      <w:rPr>
        <w:rFonts w:ascii="Times New Roman" w:hAnsi="Times New Roman"/>
        <w:bCs/>
        <w:sz w:val="18"/>
        <w:szCs w:val="18"/>
      </w:rPr>
      <w:t>312031M635</w:t>
    </w:r>
  </w:p>
  <w:p>
    <w:pPr>
      <w:pStyle w:val="Hlavika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65B6E"/>
    <w:multiLevelType w:val="hybridMultilevel"/>
    <w:tmpl w:val="846E07B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pPr>
      <w:keepNext/>
      <w:keepLines/>
      <w:spacing w:before="480" w:after="360" w:line="276" w:lineRule="auto"/>
      <w:outlineLvl w:val="0"/>
    </w:pPr>
    <w:rPr>
      <w:rFonts w:asciiTheme="majorHAnsi" w:eastAsiaTheme="majorEastAsia" w:hAnsiTheme="majorHAnsi" w:cstheme="majorBidi"/>
      <w:b/>
      <w:bCs/>
      <w:sz w:val="36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aliases w:val="1. Zeile,   1. Zeile"/>
    <w:basedOn w:val="Normlny"/>
    <w:link w:val="Hlavik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aliases w:val="1. Zeile Char,   1. Zeile Char"/>
    <w:basedOn w:val="Predvolenpsmoodseku"/>
    <w:link w:val="Hlavika"/>
    <w:uiPriority w:val="99"/>
    <w:qFormat/>
  </w:style>
  <w:style w:type="paragraph" w:styleId="Pta">
    <w:name w:val="footer"/>
    <w:basedOn w:val="Normlny"/>
    <w:link w:val="Pta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</w:style>
  <w:style w:type="paragraph" w:styleId="Textbubliny">
    <w:name w:val="Balloon Text"/>
    <w:basedOn w:val="Normlny"/>
    <w:link w:val="Textbubliny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3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lavika1">
    <w:name w:val="Hlavička1"/>
    <w:basedOn w:val="Normlny"/>
    <w:uiPriority w:val="99"/>
    <w:unhideWhenUsed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customStyle="1" w:styleId="Obsahrmca">
    <w:name w:val="Obsah rámca"/>
    <w:basedOn w:val="Normlny"/>
    <w:qFormat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character" w:customStyle="1" w:styleId="Nadpis1Char">
    <w:name w:val="Nadpis 1 Char"/>
    <w:basedOn w:val="Predvolenpsmoodseku"/>
    <w:link w:val="Nadpis1"/>
    <w:uiPriority w:val="9"/>
    <w:rPr>
      <w:rFonts w:asciiTheme="majorHAnsi" w:eastAsiaTheme="majorEastAsia" w:hAnsiTheme="majorHAnsi" w:cstheme="majorBidi"/>
      <w:b/>
      <w:bCs/>
      <w:sz w:val="36"/>
      <w:szCs w:val="28"/>
    </w:rPr>
  </w:style>
  <w:style w:type="paragraph" w:styleId="Normlnywebov">
    <w:name w:val="Normal (Web)"/>
    <w:basedOn w:val="Normlny"/>
    <w:uiPriority w:val="99"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table" w:customStyle="1" w:styleId="TableGrid1">
    <w:name w:val="Table Grid1"/>
    <w:basedOn w:val="Normlnatabuka"/>
    <w:next w:val="Mriekatabuky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prepojenie">
    <w:name w:val="Hyperlink"/>
    <w:basedOn w:val="Predvolenpsmoodseku"/>
    <w:uiPriority w:val="99"/>
    <w:unhideWhenUsed/>
    <w:rPr>
      <w:color w:val="0563C1" w:themeColor="hyperlink"/>
      <w:u w:val="single"/>
    </w:rPr>
  </w:style>
  <w:style w:type="paragraph" w:styleId="Odsekzoznamu">
    <w:name w:val="List Paragraph"/>
    <w:basedOn w:val="Normlny"/>
    <w:uiPriority w:val="99"/>
    <w:qFormat/>
    <w:pPr>
      <w:spacing w:after="200" w:line="276" w:lineRule="auto"/>
      <w:ind w:left="720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0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0828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88719">
          <w:marLeft w:val="0"/>
          <w:marRight w:val="0"/>
          <w:marTop w:val="15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69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878</Words>
  <Characters>5006</Characters>
  <Application>Microsoft Office Word</Application>
  <DocSecurity>0</DocSecurity>
  <Lines>41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5873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Pavol Kmeť</dc:creator>
  <cp:lastModifiedBy>CL</cp:lastModifiedBy>
  <cp:revision>6</cp:revision>
  <cp:lastPrinted>2019-07-23T11:51:00Z</cp:lastPrinted>
  <dcterms:created xsi:type="dcterms:W3CDTF">2019-08-07T19:57:00Z</dcterms:created>
  <dcterms:modified xsi:type="dcterms:W3CDTF">2019-08-09T08:13:00Z</dcterms:modified>
</cp:coreProperties>
</file>