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tbl>
      <w:tblPr>
        <w:tblStyle w:val="TableGrid1"/>
        <w:tblpPr w:leftFromText="180" w:rightFromText="180" w:vertAnchor="text" w:horzAnchor="page" w:tblpX="1" w:tblpY="18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5772"/>
      </w:tblGrid>
      <w:tr>
        <w:trPr>
          <w:trHeight w:val="268"/>
        </w:trPr>
        <w:tc>
          <w:tcPr>
            <w:tcW w:w="2045" w:type="dxa"/>
            <w:shd w:val="clear" w:color="auto" w:fill="C2D69B"/>
          </w:tcPr>
          <w:p>
            <w:pPr>
              <w:spacing w:line="276" w:lineRule="auto"/>
              <w:rPr>
                <w:rFonts w:ascii="Calibri" w:eastAsia="Calibri" w:hAnsi="Calibri" w:cs="Times New Roman"/>
              </w:rPr>
            </w:pPr>
            <w:bookmarkStart w:id="0" w:name="_Toc390942110"/>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5772"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after="240"/>
        <w:rPr>
          <w:rFonts w:asciiTheme="minorHAnsi" w:hAnsiTheme="minorHAnsi"/>
          <w:sz w:val="24"/>
          <w:szCs w:val="24"/>
        </w:rPr>
      </w:pPr>
      <w:r>
        <w:rPr>
          <w:noProof/>
          <w:sz w:val="24"/>
          <w:szCs w:val="24"/>
          <w:lang w:eastAsia="sk-SK"/>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-396240</wp:posOffset>
                </wp:positionV>
                <wp:extent cx="4493260" cy="463550"/>
                <wp:effectExtent l="0" t="0" r="0" b="0"/>
                <wp:wrapNone/>
                <wp:docPr id="12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3260" cy="463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4.8pt;margin-top:-31.2pt;width:353.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" filled="f" stroked="f">
                <v:stroke joinstyle="round"/>
                <o:lock v:ext="edit" shapetype="t"/>
                <v:textbox style="mso-fit-shape-to-text:t">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v:textbox>
              </v:shape>
            </w:pict>
          </mc:Fallback>
        </mc:AlternateContent>
      </w:r>
      <w:r>
        <w:rPr>
          <w:rFonts w:asciiTheme="minorHAnsi" w:hAnsiTheme="minorHAnsi"/>
          <w:sz w:val="24"/>
          <w:szCs w:val="24"/>
        </w:rPr>
        <w:t>1. Identifikačné údaje</w:t>
      </w:r>
      <w:bookmarkEnd w:id="0"/>
    </w:p>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trPr>
          <w:trHeight w:val="487"/>
        </w:trPr>
        <w:tc>
          <w:tcPr>
            <w:tcW w:w="2500" w:type="pct"/>
          </w:tcPr>
          <w:p>
            <w:pPr>
              <w:rPr>
                <w:sz w:val="24"/>
                <w:szCs w:val="24"/>
              </w:rPr>
            </w:pPr>
            <w:r>
              <w:rPr>
                <w:sz w:val="24"/>
                <w:szCs w:val="24"/>
                <w:u w:val="single"/>
              </w:rPr>
              <w:t>Klient</w:t>
            </w:r>
          </w:p>
        </w:tc>
        <w:tc>
          <w:tcPr>
            <w:tcW w:w="2500" w:type="pct"/>
          </w:tcPr>
          <w:p>
            <w:pPr>
              <w:rPr>
                <w:sz w:val="24"/>
                <w:szCs w:val="24"/>
              </w:rPr>
            </w:pPr>
            <w:r>
              <w:rPr>
                <w:sz w:val="24"/>
                <w:szCs w:val="24"/>
                <w:u w:val="single"/>
              </w:rPr>
              <w:t>Poradca</w:t>
            </w:r>
            <w:r>
              <w:rPr>
                <w:sz w:val="24"/>
                <w:szCs w:val="24"/>
              </w:rPr>
              <w:t>:</w:t>
            </w:r>
          </w:p>
        </w:tc>
      </w:tr>
      <w:tr>
        <w:trPr>
          <w:trHeight w:val="487"/>
        </w:trPr>
        <w:tc>
          <w:tcPr>
            <w:tcW w:w="2500" w:type="pct"/>
          </w:tcPr>
          <w:p>
            <w:pPr>
              <w:rPr>
                <w:sz w:val="20"/>
              </w:rPr>
            </w:pPr>
            <w:r>
              <w:rPr>
                <w:sz w:val="24"/>
                <w:szCs w:val="24"/>
              </w:rPr>
              <w:t>Meno a priezvisko</w:t>
            </w:r>
            <w:r>
              <w:rPr>
                <w:sz w:val="20"/>
              </w:rPr>
              <w:t>:</w:t>
            </w:r>
            <w:r>
              <w:rPr>
                <w:sz w:val="24"/>
                <w:szCs w:val="24"/>
              </w:rPr>
              <w:t xml:space="preserve"> Melánia </w:t>
            </w:r>
            <w:proofErr w:type="spellStart"/>
            <w:r>
              <w:rPr>
                <w:sz w:val="24"/>
                <w:szCs w:val="24"/>
              </w:rPr>
              <w:t>Plachetková</w:t>
            </w:r>
            <w:proofErr w:type="spellEnd"/>
            <w:r>
              <w:rPr>
                <w:sz w:val="20"/>
              </w:rPr>
              <w:tab/>
            </w:r>
            <w:r>
              <w:rPr>
                <w:sz w:val="20"/>
              </w:rPr>
              <w:tab/>
            </w:r>
          </w:p>
        </w:tc>
        <w:tc>
          <w:tcPr>
            <w:tcW w:w="2500" w:type="pct"/>
          </w:tcPr>
          <w:p>
            <w:pPr>
              <w:rPr>
                <w:sz w:val="20"/>
              </w:rPr>
            </w:pPr>
            <w:r>
              <w:rPr>
                <w:sz w:val="24"/>
                <w:szCs w:val="24"/>
              </w:rPr>
              <w:t>Meno a priezvisko</w:t>
            </w:r>
            <w:r>
              <w:rPr>
                <w:sz w:val="20"/>
              </w:rPr>
              <w:t xml:space="preserve">: </w:t>
            </w:r>
            <w:proofErr w:type="spellStart"/>
            <w:r>
              <w:rPr>
                <w:sz w:val="24"/>
                <w:szCs w:val="24"/>
              </w:rPr>
              <w:t>PaedDr.Miroslav</w:t>
            </w:r>
            <w:proofErr w:type="spellEnd"/>
            <w:r>
              <w:rPr>
                <w:sz w:val="24"/>
                <w:szCs w:val="24"/>
              </w:rPr>
              <w:t xml:space="preserve"> </w:t>
            </w:r>
            <w:proofErr w:type="spellStart"/>
            <w:r>
              <w:rPr>
                <w:sz w:val="24"/>
                <w:szCs w:val="24"/>
              </w:rPr>
              <w:t>Schvarcz</w:t>
            </w:r>
            <w:proofErr w:type="spellEnd"/>
            <w:r>
              <w:rPr>
                <w:sz w:val="20"/>
              </w:rPr>
              <w:tab/>
            </w:r>
            <w:r>
              <w:rPr>
                <w:sz w:val="20"/>
              </w:rPr>
              <w:tab/>
            </w:r>
          </w:p>
        </w:tc>
      </w:tr>
      <w:tr>
        <w:trPr>
          <w:trHeight w:val="487"/>
        </w:trPr>
        <w:tc>
          <w:tcPr>
            <w:tcW w:w="2500" w:type="pct"/>
          </w:tcPr>
          <w:p>
            <w:pPr>
              <w:rPr>
                <w:sz w:val="24"/>
                <w:szCs w:val="24"/>
                <w:u w:val="single"/>
              </w:rPr>
            </w:pPr>
            <w:r>
              <w:rPr>
                <w:sz w:val="24"/>
                <w:szCs w:val="24"/>
              </w:rPr>
              <w:t>Podpis:</w:t>
            </w:r>
          </w:p>
        </w:tc>
        <w:tc>
          <w:tcPr>
            <w:tcW w:w="2500" w:type="pct"/>
          </w:tcPr>
          <w:p>
            <w:pPr>
              <w:rPr>
                <w:sz w:val="20"/>
                <w:u w:val="single"/>
              </w:rPr>
            </w:pPr>
            <w:r>
              <w:rPr>
                <w:sz w:val="24"/>
                <w:szCs w:val="24"/>
              </w:rPr>
              <w:t>Podpis</w:t>
            </w:r>
            <w:r>
              <w:rPr>
                <w:sz w:val="20"/>
              </w:rPr>
              <w:t>:</w:t>
            </w:r>
          </w:p>
        </w:tc>
      </w:tr>
    </w:tbl>
    <w:p>
      <w:pPr>
        <w:spacing w:after="0"/>
        <w:rPr>
          <w:sz w:val="24"/>
          <w:szCs w:val="24"/>
        </w:rPr>
      </w:pPr>
      <w:r>
        <w:rPr>
          <w:sz w:val="24"/>
          <w:szCs w:val="24"/>
        </w:rPr>
        <w:t>Dátum vyhotovenia záverečnej správy</w:t>
      </w:r>
      <w:r>
        <w:rPr>
          <w:sz w:val="20"/>
        </w:rPr>
        <w:t xml:space="preserve">: </w:t>
      </w:r>
      <w:r>
        <w:rPr>
          <w:sz w:val="24"/>
          <w:szCs w:val="24"/>
        </w:rPr>
        <w:t>29.7.2019</w:t>
      </w:r>
    </w:p>
    <w:p>
      <w:pPr>
        <w:spacing w:after="0"/>
        <w:rPr>
          <w:sz w:val="20"/>
        </w:rPr>
      </w:pPr>
    </w:p>
    <w:p>
      <w:pPr>
        <w:spacing w:after="0"/>
        <w:rPr>
          <w:rFonts w:eastAsiaTheme="majorEastAsia" w:cstheme="majorBidi"/>
          <w:b/>
          <w:bCs/>
          <w:sz w:val="24"/>
          <w:szCs w:val="24"/>
        </w:rPr>
      </w:pPr>
      <w:r>
        <w:rPr>
          <w:rFonts w:eastAsiaTheme="majorEastAsia" w:cstheme="majorBidi"/>
          <w:b/>
          <w:bCs/>
          <w:sz w:val="24"/>
          <w:szCs w:val="24"/>
        </w:rPr>
        <w:t>2. Priebeh a ciele bilancie kompetencií</w:t>
      </w:r>
    </w:p>
    <w:p>
      <w:pPr>
        <w:jc w:val="both"/>
        <w:rPr>
          <w:sz w:val="20"/>
          <w:szCs w:val="20"/>
        </w:rPr>
      </w:pPr>
      <w:r>
        <w:rPr>
          <w:sz w:val="20"/>
          <w:szCs w:val="20"/>
        </w:rPr>
        <w:t xml:space="preserve">Bilancia kompetencií prebehla v období od 5.6.2019 do 14.8.2019  v rozsahu 38 hodín a boli pri nej použité nasledovné nástroje: </w:t>
      </w:r>
    </w:p>
    <w:p>
      <w:pPr>
        <w:ind w:right="-1417"/>
        <w:jc w:val="both"/>
        <w:rPr>
          <w:sz w:val="20"/>
          <w:szCs w:val="20"/>
        </w:rPr>
      </w:pPr>
      <w:r>
        <w:rPr>
          <w:sz w:val="20"/>
          <w:szCs w:val="20"/>
        </w:rPr>
        <w:t xml:space="preserve">Kompetenčné portfólio, rozhovory s ľuďmi z praxe, osobnostné predpoklady B3, kľúčové kompetencie D4, moje zručnosti D3, nepoznané stránky osobnosti, </w:t>
      </w:r>
      <w:r>
        <w:rPr>
          <w:rFonts w:cs="Calibri"/>
          <w:sz w:val="20"/>
          <w:szCs w:val="20"/>
        </w:rPr>
        <w:t>A5- Otázky na pracovný rozhovor,  B2- Rob to, čo najlepšie vieš, B3- osobnostné predpoklady, B4 – zoznam vlastností,  C1 -Profesijné okruhy RIASEC – „</w:t>
      </w:r>
      <w:proofErr w:type="spellStart"/>
      <w:r>
        <w:rPr>
          <w:rFonts w:cs="Calibri"/>
          <w:sz w:val="20"/>
          <w:szCs w:val="20"/>
        </w:rPr>
        <w:t>Párty</w:t>
      </w:r>
      <w:proofErr w:type="spellEnd"/>
      <w:r>
        <w:rPr>
          <w:rFonts w:cs="Calibri"/>
          <w:sz w:val="20"/>
          <w:szCs w:val="20"/>
        </w:rPr>
        <w:t xml:space="preserve"> C2-Profesijné okruhy RIASEC – Dotazník, C3-Profesijné okruhy RIASEC – Charakteristiky typov, C5-Moje profesijné hodnoty, </w:t>
      </w:r>
      <w:bookmarkStart w:id="1" w:name="_GoBack"/>
      <w:bookmarkEnd w:id="1"/>
      <w:r>
        <w:rPr>
          <w:rFonts w:cs="Calibri"/>
          <w:sz w:val="20"/>
          <w:szCs w:val="20"/>
        </w:rPr>
        <w:t xml:space="preserve">  </w:t>
      </w:r>
      <w:r>
        <w:rPr>
          <w:rFonts w:cs="Calibri"/>
          <w:b/>
          <w:sz w:val="20"/>
          <w:szCs w:val="20"/>
        </w:rPr>
        <w:t xml:space="preserve"> </w:t>
      </w:r>
      <w:proofErr w:type="spellStart"/>
      <w:r>
        <w:rPr>
          <w:rFonts w:cs="Calibri"/>
          <w:sz w:val="20"/>
          <w:szCs w:val="20"/>
        </w:rPr>
        <w:t>Karierový</w:t>
      </w:r>
      <w:proofErr w:type="spellEnd"/>
      <w:r>
        <w:rPr>
          <w:rFonts w:cs="Calibri"/>
          <w:sz w:val="20"/>
          <w:szCs w:val="20"/>
        </w:rPr>
        <w:t xml:space="preserve"> kvietok</w:t>
      </w:r>
    </w:p>
    <w:p>
      <w:pPr>
        <w:spacing w:after="0" w:line="240" w:lineRule="auto"/>
        <w:jc w:val="both"/>
        <w:rPr>
          <w:sz w:val="20"/>
          <w:szCs w:val="20"/>
        </w:rPr>
      </w:pPr>
      <w:r>
        <w:rPr>
          <w:sz w:val="20"/>
          <w:szCs w:val="20"/>
        </w:rPr>
        <w:t>Všetky aktivity smerovali k analýze nadobudnutých vedomostí a zručností klienta, ako aj jeho profesijných motivácií a osobnostných vlastností.</w:t>
      </w:r>
    </w:p>
    <w:p>
      <w:pPr>
        <w:spacing w:after="0" w:line="240" w:lineRule="auto"/>
        <w:jc w:val="both"/>
        <w:rPr>
          <w:sz w:val="20"/>
          <w:szCs w:val="20"/>
        </w:rPr>
      </w:pPr>
      <w:r>
        <w:rPr>
          <w:b/>
          <w:noProof/>
          <w:sz w:val="20"/>
          <w:szCs w:val="20"/>
          <w:lang w:eastAsia="sk-SK"/>
        </w:rPr>
        <mc:AlternateContent>
          <mc:Choice Requires="wps">
            <w:drawing>
              <wp:anchor distT="45720" distB="45720" distL="114300" distR="114300" simplePos="0" relativeHeight="251661312" behindDoc="0" locked="0" layoutInCell="1" allowOverlap="1">
                <wp:simplePos x="0" y="0"/>
                <wp:positionH relativeFrom="margin">
                  <wp:posOffset>59055</wp:posOffset>
                </wp:positionH>
                <wp:positionV relativeFrom="paragraph">
                  <wp:posOffset>474345</wp:posOffset>
                </wp:positionV>
                <wp:extent cx="6381750" cy="1609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609725"/>
                        </a:xfrm>
                        <a:prstGeom prst="rect">
                          <a:avLst/>
                        </a:prstGeom>
                        <a:solidFill>
                          <a:srgbClr val="FFFFFF"/>
                        </a:solidFill>
                        <a:ln w="9525">
                          <a:solidFill>
                            <a:srgbClr val="000000"/>
                          </a:solidFill>
                          <a:miter lim="800000"/>
                          <a:headEnd/>
                          <a:tailEnd/>
                        </a:ln>
                      </wps:spPr>
                      <wps:txbx>
                        <w:txbxContent>
                          <w:p>
                            <w:pPr>
                              <w:jc w:val="both"/>
                              <w:rPr>
                                <w:i/>
                              </w:rPr>
                            </w:pPr>
                            <w:r>
                              <w:rPr>
                                <w:i/>
                              </w:rPr>
                              <w:t>Uviedla ste, že v evidencii úradu práce ste cca 13 mesiacov, je to Vaša tretia   evidencia. Pracovné skúsenosti nadobudnuté prácou na základe pracovnej zmluvy zatiaľ nemáte. Ukončila ste základnú školu, ďalej ste vo vzdelávaní nepokračovala.    Asi 8 rokov ste bola  ma materskej dovolenke.</w:t>
                            </w:r>
                          </w:p>
                          <w:p>
                            <w:pPr>
                              <w:jc w:val="both"/>
                              <w:rPr>
                                <w:i/>
                              </w:rPr>
                            </w:pPr>
                            <w:r>
                              <w:rPr>
                                <w:i/>
                              </w:rPr>
                              <w:t xml:space="preserve"> Na základe zhrnutia a analýzy  vstupného rozhovoru ste vyjadrila, že by ste chcela vedieť pomenovať svoje pracovné a mimopracovné kompetencie. Chcete sa naučiť orientovať na regionálnom trhu práce, chcete si ujasniť kariérny cieľ, zhodnotiť možnosť ďalšieho vzdelávania. Vyjadrila ste potrebu pomoci pri tvorbe životopisu, žiadosti o prijatie do zamestnania a pomoc pri vyhľadávaní pracovných ponúk.</w:t>
                            </w:r>
                          </w:p>
                          <w:p>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65pt;margin-top:37.35pt;width:502.5pt;height:12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">
                <v:textbox>
                  <w:txbxContent>
                    <w:p>
                      <w:pPr>
                        <w:jc w:val="both"/>
                        <w:rPr>
                          <w:i/>
                        </w:rPr>
                      </w:pPr>
                      <w:r>
                        <w:rPr>
                          <w:i/>
                        </w:rPr>
                        <w:t>Uviedla ste, že v evidencii úradu práce ste cca 1</w:t>
                      </w:r>
                      <w:r>
                        <w:rPr>
                          <w:i/>
                        </w:rPr>
                        <w:t>3</w:t>
                      </w:r>
                      <w:r>
                        <w:rPr>
                          <w:i/>
                        </w:rPr>
                        <w:t xml:space="preserve"> mesiacov, je to Vaša t</w:t>
                      </w:r>
                      <w:r>
                        <w:rPr>
                          <w:i/>
                        </w:rPr>
                        <w:t>retia   evidencia. Pracovné skúsenosti nadobudnuté prácou na základe pracovnej zmluvy zatiaľ nemáte. Ukončila ste základnú školu, ďalej ste vo vzdelávaní nepokračovala.    Asi 8 rokov ste bola  ma materskej dovolenke.</w:t>
                      </w:r>
                    </w:p>
                    <w:p>
                      <w:pPr>
                        <w:jc w:val="both"/>
                        <w:rPr>
                          <w:i/>
                        </w:rPr>
                      </w:pPr>
                      <w:r>
                        <w:rPr>
                          <w:i/>
                        </w:rPr>
                        <w:t xml:space="preserve"> </w:t>
                      </w:r>
                      <w:r>
                        <w:rPr>
                          <w:i/>
                        </w:rPr>
                        <w:t>Na základe zhrnutia a analýzy  vstupného rozhovoru ste vyjadrila, že by ste chcela vedieť pomenovať svoje pracovné a mimopracovné kompetencie. Chcete sa naučiť orientovať na regionálnom trhu práce, chcete si ujasniť kariérny cieľ, zhodnotiť možnosť ďalšieho vzdelávania.</w:t>
                      </w:r>
                      <w:r>
                        <w:rPr>
                          <w:i/>
                        </w:rPr>
                        <w:t xml:space="preserve"> </w:t>
                      </w:r>
                      <w:r>
                        <w:rPr>
                          <w:i/>
                        </w:rPr>
                        <w:t xml:space="preserve">Vyjadrila ste potrebu pomoci pri tvorbe životopisu, žiadosti o prijatie do zamestnania a pomoc pri </w:t>
                      </w:r>
                      <w:r>
                        <w:rPr>
                          <w:i/>
                        </w:rPr>
                        <w:t>vy</w:t>
                      </w:r>
                      <w:r>
                        <w:rPr>
                          <w:i/>
                        </w:rPr>
                        <w:t>hľad</w:t>
                      </w:r>
                      <w:r>
                        <w:rPr>
                          <w:i/>
                        </w:rPr>
                        <w:t>ávaní pracovných ponúk</w:t>
                      </w:r>
                      <w:r>
                        <w:rPr>
                          <w:i/>
                        </w:rPr>
                        <w:t>.</w:t>
                      </w:r>
                    </w:p>
                    <w:p>
                      <w:pPr>
                        <w:rPr>
                          <w:i/>
                        </w:rPr>
                      </w:pPr>
                    </w:p>
                  </w:txbxContent>
                </v:textbox>
                <w10:wrap type="square" anchorx="margin"/>
              </v:shape>
            </w:pict>
          </mc:Fallback>
        </mc:AlternateContent>
      </w:r>
      <w:r>
        <w:rPr>
          <w:sz w:val="20"/>
          <w:szCs w:val="20"/>
        </w:rPr>
        <w:t>Bilancia kompetencií bola prispôsobená nasledovným očakávaniam a vyjadreným potrebám.</w:t>
      </w:r>
    </w:p>
    <w:p>
      <w:pPr>
        <w:pStyle w:val="Nadpis1"/>
        <w:spacing w:before="240" w:after="0"/>
        <w:rPr>
          <w:rFonts w:asciiTheme="minorHAnsi" w:eastAsia="Arial" w:hAnsiTheme="minorHAnsi"/>
          <w:sz w:val="24"/>
          <w:szCs w:val="24"/>
        </w:rPr>
      </w:pPr>
      <w:bookmarkStart w:id="2" w:name="_Toc390942113"/>
    </w:p>
    <w:p/>
    <w:p/>
    <w:p>
      <w:pPr>
        <w:pStyle w:val="Nadpis1"/>
        <w:spacing w:before="240" w:after="0"/>
        <w:rPr>
          <w:rFonts w:asciiTheme="minorHAnsi" w:eastAsia="Arial" w:hAnsiTheme="minorHAnsi"/>
          <w:sz w:val="24"/>
          <w:szCs w:val="24"/>
        </w:rPr>
      </w:pPr>
      <w:r>
        <w:rPr>
          <w:rFonts w:asciiTheme="minorHAnsi" w:eastAsia="Arial" w:hAnsiTheme="minorHAnsi"/>
          <w:sz w:val="24"/>
          <w:szCs w:val="24"/>
        </w:rPr>
        <w:lastRenderedPageBreak/>
        <w:t>3.Motivácia</w:t>
      </w:r>
    </w:p>
    <w:p>
      <w:pPr>
        <w:jc w:val="both"/>
        <w:rPr>
          <w:sz w:val="20"/>
          <w:szCs w:val="20"/>
        </w:rPr>
      </w:pPr>
      <w:r>
        <w:rPr>
          <w:sz w:val="20"/>
          <w:szCs w:val="20"/>
        </w:rPr>
        <w:t xml:space="preserve">V portfóliu kompetencií uvádzate, že medzi Vaše hlavné kompetencie  patria sociálne a komunikačné  zručnosti, viete počúvať a pochopiť druhého. Vaša  komunikácia Vám pomáha ľahko nadväzovať vzťahy. Ďalej za svoje zručnosti označujete : čistenie, triedenie, upratovanie, umývanie,  udržiavanie poriadku.  Máte záujem nájsť si zamestnanie, ktoré by bolo v súlade s hodnotami ako je stabilita,  dobré medziľudské vzťahy, v ktorom budete vedieť využiť svoje mimopracovné zručnosti, ktoré ste nadobudla starostlivosťou o maloleté deti a domácnosť.  Ideálne by bolo ak by zamestnanie  bolo v mieste bydliska, resp. jeho dostupnosť by bola do 20 km,  a  práca v jednozmennej prevádzke. Pri stanovení svojho cieľového zamestnania  ste vychádzala aj zo svojich silných stránok ktorými sú – úprimnosť, pravdovravnosť, komunikatívnosť, trpezlivosť, spoločenskosť. Za prvá cielené zamestnanie  ste si stanovila:  </w:t>
      </w:r>
      <w:r>
        <w:rPr>
          <w:b/>
          <w:i/>
          <w:sz w:val="20"/>
          <w:szCs w:val="20"/>
        </w:rPr>
        <w:t>upratovačka</w:t>
      </w:r>
      <w:r>
        <w:rPr>
          <w:sz w:val="20"/>
          <w:szCs w:val="20"/>
        </w:rPr>
        <w:t xml:space="preserve">  a druhé cielené zamestnanie: </w:t>
      </w:r>
      <w:r>
        <w:rPr>
          <w:b/>
          <w:i/>
          <w:sz w:val="20"/>
          <w:szCs w:val="20"/>
        </w:rPr>
        <w:t>pomocná kuchárka.</w:t>
      </w:r>
    </w:p>
    <w:p/>
    <w:p>
      <w:pPr>
        <w:pStyle w:val="Nadpis1"/>
        <w:spacing w:before="240" w:after="0"/>
        <w:rPr>
          <w:rFonts w:asciiTheme="minorHAnsi" w:hAnsiTheme="minorHAnsi"/>
          <w:sz w:val="24"/>
          <w:szCs w:val="24"/>
        </w:rPr>
      </w:pPr>
      <w:r>
        <w:rPr>
          <w:rFonts w:asciiTheme="minorHAnsi" w:eastAsia="Arial" w:hAnsiTheme="minorHAnsi"/>
          <w:sz w:val="24"/>
          <w:szCs w:val="24"/>
        </w:rPr>
        <w:t xml:space="preserve">4. </w:t>
      </w:r>
      <w:bookmarkEnd w:id="2"/>
      <w:r>
        <w:rPr>
          <w:rFonts w:asciiTheme="minorHAnsi" w:eastAsia="Arial" w:hAnsiTheme="minorHAnsi"/>
          <w:sz w:val="24"/>
          <w:szCs w:val="24"/>
        </w:rPr>
        <w:t>Cielené povolania</w:t>
      </w:r>
    </w:p>
    <w:p>
      <w:pPr>
        <w:spacing w:after="0"/>
        <w:rPr>
          <w:rFonts w:eastAsia="Arial" w:cs="Arial"/>
          <w:b/>
          <w:sz w:val="20"/>
        </w:rPr>
      </w:pPr>
      <w:r>
        <w:rPr>
          <w:rFonts w:eastAsia="Arial" w:cs="Arial"/>
          <w:b/>
          <w:sz w:val="24"/>
          <w:szCs w:val="24"/>
        </w:rPr>
        <w:t>Analýza získaných vedomostí, zručností a predpokladov</w:t>
      </w:r>
      <w:r>
        <w:rPr>
          <w:rFonts w:eastAsia="Arial" w:cs="Arial"/>
          <w:b/>
          <w:sz w:val="20"/>
        </w:rPr>
        <w:t>:</w:t>
      </w:r>
    </w:p>
    <w:tbl>
      <w:tblPr>
        <w:tblW w:w="5000" w:type="pct"/>
        <w:tblInd w:w="2" w:type="dxa"/>
        <w:tblCellMar>
          <w:left w:w="0" w:type="dxa"/>
          <w:right w:w="0" w:type="dxa"/>
        </w:tblCellMar>
        <w:tblLook w:val="00A0" w:firstRow="1" w:lastRow="0" w:firstColumn="1" w:lastColumn="0" w:noHBand="0" w:noVBand="0"/>
      </w:tblPr>
      <w:tblGrid>
        <w:gridCol w:w="2961"/>
        <w:gridCol w:w="3447"/>
        <w:gridCol w:w="3447"/>
      </w:tblGrid>
      <w:tr>
        <w:trPr>
          <w:trHeight w:val="121"/>
        </w:trPr>
        <w:tc>
          <w:tcPr>
            <w:tcW w:w="150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bookmarkStart w:id="3" w:name="_Toc390942116"/>
            <w:r>
              <w:rPr>
                <w:b/>
                <w:bCs/>
                <w:sz w:val="24"/>
                <w:szCs w:val="24"/>
              </w:rPr>
              <w:t xml:space="preserve">  </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436"/>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Názov (povolanie/zamestnanie)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upratovačka</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pomocná kuchárka</w:t>
            </w:r>
          </w:p>
        </w:tc>
      </w:tr>
      <w:tr>
        <w:trPr>
          <w:trHeight w:val="172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Nadobudnuté odborné vedomosti a zručnosti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Získané zručnosti mimopracovnou činnosťou:</w:t>
            </w:r>
          </w:p>
          <w:p>
            <w:pPr>
              <w:spacing w:after="120"/>
              <w:rPr>
                <w:sz w:val="20"/>
                <w:szCs w:val="20"/>
              </w:rPr>
            </w:pPr>
            <w:r>
              <w:rPr>
                <w:sz w:val="20"/>
                <w:szCs w:val="20"/>
              </w:rPr>
              <w:t>čistenie, triedenie, upratovanie, umývanie,  udržiavanie poriadku</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Získané zručnosti Získané zručnosti mimopracovnou činnosťou:</w:t>
            </w:r>
          </w:p>
          <w:p>
            <w:pPr>
              <w:spacing w:after="120"/>
              <w:rPr>
                <w:sz w:val="20"/>
                <w:szCs w:val="20"/>
              </w:rPr>
            </w:pPr>
            <w:r>
              <w:rPr>
                <w:sz w:val="20"/>
                <w:szCs w:val="20"/>
              </w:rPr>
              <w:t>čistenie, triedenie, upratovanie, umývanie,  udržiavanie poriadku, varenie, nakupovanie, pripravovanie</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Osobnostné predpoklady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úprimnosť, pravdovravnosť, komunikatívnosť, trpezlivosť, spoločenskosť</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úprimnosť, pravdovravnosť, komunikatívnosť, trpezlivosť, spoločenskosť</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4"/>
                <w:szCs w:val="24"/>
              </w:rPr>
            </w:pPr>
            <w:r>
              <w:rPr>
                <w:b/>
                <w:bCs/>
                <w:sz w:val="24"/>
                <w:szCs w:val="24"/>
              </w:rPr>
              <w:t>Vedomosti a zručnosti potrebné nadobudnúť, prekážky...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Prekážky:</w:t>
            </w:r>
          </w:p>
          <w:p>
            <w:pPr>
              <w:spacing w:after="60"/>
              <w:rPr>
                <w:sz w:val="20"/>
                <w:szCs w:val="20"/>
              </w:rPr>
            </w:pPr>
            <w:r>
              <w:rPr>
                <w:sz w:val="20"/>
                <w:szCs w:val="20"/>
              </w:rPr>
              <w:t>nízka pracovná mobilita</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Kurz: Odborná spôsobilosť pre prácu s potravinami</w:t>
            </w:r>
          </w:p>
          <w:p>
            <w:pPr>
              <w:spacing w:after="60"/>
              <w:rPr>
                <w:sz w:val="20"/>
                <w:szCs w:val="20"/>
              </w:rPr>
            </w:pPr>
            <w:r>
              <w:rPr>
                <w:sz w:val="20"/>
                <w:szCs w:val="20"/>
              </w:rPr>
              <w:t>Prekážky:</w:t>
            </w:r>
          </w:p>
          <w:p>
            <w:pPr>
              <w:spacing w:after="60"/>
              <w:rPr>
                <w:sz w:val="20"/>
                <w:szCs w:val="20"/>
              </w:rPr>
            </w:pPr>
            <w:r>
              <w:rPr>
                <w:sz w:val="20"/>
                <w:szCs w:val="20"/>
              </w:rPr>
              <w:t>nízka pracovná mobilita</w:t>
            </w:r>
          </w:p>
          <w:p>
            <w:pPr>
              <w:spacing w:after="60"/>
              <w:rPr>
                <w:sz w:val="20"/>
                <w:szCs w:val="20"/>
              </w:rPr>
            </w:pPr>
          </w:p>
        </w:tc>
      </w:tr>
    </w:tbl>
    <w:p>
      <w:pPr>
        <w:pStyle w:val="Nadpis1"/>
        <w:spacing w:before="240" w:after="120"/>
        <w:ind w:right="-307"/>
        <w:rPr>
          <w:rFonts w:ascii="Calibri" w:hAnsi="Calibri"/>
          <w:sz w:val="24"/>
          <w:szCs w:val="24"/>
        </w:rPr>
      </w:pPr>
      <w:bookmarkStart w:id="4" w:name="_Toc390942114"/>
    </w:p>
    <w:p/>
    <w:p/>
    <w:p>
      <w:pPr>
        <w:pStyle w:val="Nadpis1"/>
        <w:spacing w:before="240" w:after="120"/>
        <w:ind w:right="-307"/>
        <w:rPr>
          <w:rFonts w:ascii="Calibri" w:hAnsi="Calibri"/>
          <w:sz w:val="24"/>
          <w:szCs w:val="24"/>
        </w:rPr>
      </w:pPr>
      <w:r>
        <w:rPr>
          <w:rFonts w:ascii="Calibri" w:hAnsi="Calibri"/>
          <w:sz w:val="24"/>
          <w:szCs w:val="24"/>
        </w:rPr>
        <w:lastRenderedPageBreak/>
        <w:t>5. Situácia na trhu práce</w:t>
      </w:r>
      <w:bookmarkEnd w:id="4"/>
      <w:r>
        <w:rPr>
          <w:rFonts w:ascii="Calibri" w:hAnsi="Calibri"/>
          <w:sz w:val="24"/>
          <w:szCs w:val="24"/>
        </w:rPr>
        <w:t xml:space="preserve">  </w:t>
      </w:r>
    </w:p>
    <w:p>
      <w:pPr>
        <w:spacing w:after="0"/>
        <w:rPr>
          <w:rStyle w:val="Hypertextovprepojenie"/>
          <w:rFonts w:eastAsia="Arial" w:cs="Arial"/>
          <w:szCs w:val="24"/>
        </w:rPr>
      </w:pPr>
    </w:p>
    <w:tbl>
      <w:tblPr>
        <w:tblW w:w="5000" w:type="pct"/>
        <w:tblInd w:w="2" w:type="dxa"/>
        <w:tblCellMar>
          <w:left w:w="0" w:type="dxa"/>
          <w:right w:w="0" w:type="dxa"/>
        </w:tblCellMar>
        <w:tblLook w:val="00A0" w:firstRow="1" w:lastRow="0" w:firstColumn="1" w:lastColumn="0" w:noHBand="0" w:noVBand="0"/>
      </w:tblPr>
      <w:tblGrid>
        <w:gridCol w:w="2395"/>
        <w:gridCol w:w="3731"/>
        <w:gridCol w:w="3729"/>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r>
              <w:rPr>
                <w:b/>
                <w:bCs/>
                <w:sz w:val="24"/>
                <w:szCs w:val="24"/>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360" w:lineRule="auto"/>
              <w:rPr>
                <w:sz w:val="20"/>
                <w:szCs w:val="20"/>
              </w:rPr>
            </w:pPr>
            <w:r>
              <w:rPr>
                <w:sz w:val="20"/>
                <w:szCs w:val="20"/>
              </w:rPr>
              <w:t xml:space="preserve">Obecný úrad Švedlár,  </w:t>
            </w:r>
          </w:p>
          <w:p>
            <w:pPr>
              <w:spacing w:after="0" w:line="360" w:lineRule="auto"/>
              <w:rPr>
                <w:sz w:val="20"/>
                <w:szCs w:val="20"/>
              </w:rPr>
            </w:pPr>
            <w:r>
              <w:rPr>
                <w:sz w:val="20"/>
                <w:szCs w:val="20"/>
              </w:rPr>
              <w:t>ZŠ Švedlár</w:t>
            </w:r>
          </w:p>
          <w:p>
            <w:pPr>
              <w:spacing w:after="0" w:line="360" w:lineRule="auto"/>
              <w:rPr>
                <w:sz w:val="20"/>
                <w:szCs w:val="20"/>
              </w:rPr>
            </w:pPr>
            <w:proofErr w:type="spellStart"/>
            <w:r>
              <w:rPr>
                <w:sz w:val="20"/>
                <w:szCs w:val="20"/>
              </w:rPr>
              <w:t>Drevex</w:t>
            </w:r>
            <w:proofErr w:type="spellEnd"/>
            <w:r>
              <w:rPr>
                <w:sz w:val="20"/>
                <w:szCs w:val="20"/>
              </w:rPr>
              <w:t xml:space="preserve"> s.r.o., Švedlár</w:t>
            </w:r>
          </w:p>
          <w:p>
            <w:pPr>
              <w:spacing w:after="0" w:line="360" w:lineRule="auto"/>
              <w:rPr>
                <w:sz w:val="20"/>
                <w:szCs w:val="20"/>
              </w:rPr>
            </w:pPr>
            <w:r>
              <w:rPr>
                <w:sz w:val="20"/>
                <w:szCs w:val="20"/>
              </w:rPr>
              <w:t xml:space="preserve">Píla </w:t>
            </w:r>
            <w:proofErr w:type="spellStart"/>
            <w:r>
              <w:rPr>
                <w:sz w:val="20"/>
                <w:szCs w:val="20"/>
              </w:rPr>
              <w:t>Šlossa</w:t>
            </w:r>
            <w:proofErr w:type="spellEnd"/>
            <w:r>
              <w:rPr>
                <w:sz w:val="20"/>
                <w:szCs w:val="20"/>
              </w:rPr>
              <w:t xml:space="preserve"> Švedlár</w:t>
            </w:r>
          </w:p>
          <w:p>
            <w:pPr>
              <w:spacing w:after="0" w:line="360" w:lineRule="auto"/>
              <w:rPr>
                <w:sz w:val="20"/>
                <w:szCs w:val="20"/>
              </w:rPr>
            </w:pPr>
            <w:r>
              <w:rPr>
                <w:sz w:val="20"/>
                <w:szCs w:val="20"/>
              </w:rPr>
              <w:t>Maroš Škvarka Švedlár</w:t>
            </w:r>
          </w:p>
          <w:p>
            <w:pPr>
              <w:spacing w:after="0" w:line="360" w:lineRule="auto"/>
              <w:rPr>
                <w:sz w:val="20"/>
                <w:szCs w:val="20"/>
              </w:rPr>
            </w:pPr>
            <w:r>
              <w:rPr>
                <w:sz w:val="20"/>
                <w:szCs w:val="20"/>
              </w:rPr>
              <w:t>(všetci väčší zamestnávatelia a firmy v regióne)</w:t>
            </w:r>
          </w:p>
          <w:p>
            <w:pPr>
              <w:spacing w:after="0" w:line="360" w:lineRule="auto"/>
              <w:rPr>
                <w:sz w:val="20"/>
                <w:szCs w:val="20"/>
              </w:rPr>
            </w:pPr>
            <w:r>
              <w:rPr>
                <w:sz w:val="20"/>
                <w:szCs w:val="20"/>
              </w:rPr>
              <w:t>Gymnázium Gelnica</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ZŠ Švedlár</w:t>
            </w:r>
          </w:p>
          <w:p>
            <w:pPr>
              <w:spacing w:after="0"/>
              <w:rPr>
                <w:sz w:val="20"/>
                <w:szCs w:val="20"/>
              </w:rPr>
            </w:pPr>
            <w:r>
              <w:rPr>
                <w:sz w:val="20"/>
                <w:szCs w:val="20"/>
              </w:rPr>
              <w:t>Reštaurácia Orol, Švedlár</w:t>
            </w:r>
          </w:p>
          <w:p>
            <w:pPr>
              <w:spacing w:after="0"/>
              <w:rPr>
                <w:sz w:val="20"/>
                <w:szCs w:val="20"/>
              </w:rPr>
            </w:pPr>
            <w:proofErr w:type="spellStart"/>
            <w:r>
              <w:rPr>
                <w:sz w:val="20"/>
                <w:szCs w:val="20"/>
              </w:rPr>
              <w:t>SnackBar</w:t>
            </w:r>
            <w:proofErr w:type="spellEnd"/>
            <w:r>
              <w:rPr>
                <w:sz w:val="20"/>
                <w:szCs w:val="20"/>
              </w:rPr>
              <w:t xml:space="preserve">, Janka </w:t>
            </w:r>
            <w:proofErr w:type="spellStart"/>
            <w:r>
              <w:rPr>
                <w:sz w:val="20"/>
                <w:szCs w:val="20"/>
              </w:rPr>
              <w:t>Grečková</w:t>
            </w:r>
            <w:proofErr w:type="spellEnd"/>
            <w:r>
              <w:rPr>
                <w:sz w:val="20"/>
                <w:szCs w:val="20"/>
              </w:rPr>
              <w:t>, Nálepkovo</w:t>
            </w:r>
          </w:p>
          <w:p>
            <w:pPr>
              <w:spacing w:after="0"/>
              <w:rPr>
                <w:sz w:val="20"/>
                <w:szCs w:val="20"/>
              </w:rPr>
            </w:pPr>
            <w:r>
              <w:rPr>
                <w:sz w:val="20"/>
                <w:szCs w:val="20"/>
              </w:rPr>
              <w:t>Obecná reštaurácia Mníšek nad Hnilcom</w:t>
            </w:r>
          </w:p>
          <w:p>
            <w:pPr>
              <w:spacing w:after="0"/>
              <w:rPr>
                <w:sz w:val="20"/>
                <w:szCs w:val="20"/>
              </w:rPr>
            </w:pPr>
            <w:r>
              <w:rPr>
                <w:sz w:val="20"/>
                <w:szCs w:val="20"/>
              </w:rPr>
              <w:t>ZŠ s MŠ Mníšek nad Hnilcom</w:t>
            </w:r>
          </w:p>
          <w:p>
            <w:pPr>
              <w:spacing w:after="0"/>
              <w:rPr>
                <w:sz w:val="20"/>
                <w:szCs w:val="20"/>
              </w:rPr>
            </w:pPr>
            <w:r>
              <w:rPr>
                <w:sz w:val="20"/>
                <w:szCs w:val="20"/>
              </w:rPr>
              <w:t>Reštaurácia Zlatý orol Helcmanovce</w:t>
            </w:r>
          </w:p>
          <w:p>
            <w:pPr>
              <w:spacing w:after="0"/>
              <w:rPr>
                <w:sz w:val="20"/>
                <w:szCs w:val="20"/>
              </w:rPr>
            </w:pPr>
            <w:r>
              <w:rPr>
                <w:sz w:val="20"/>
                <w:szCs w:val="20"/>
              </w:rPr>
              <w:t>ZŠ Spišská Nová Ves, Lipová 13</w:t>
            </w:r>
          </w:p>
          <w:p>
            <w:pPr>
              <w:spacing w:after="0"/>
              <w:rPr>
                <w:sz w:val="20"/>
                <w:szCs w:val="20"/>
              </w:rPr>
            </w:pPr>
            <w:proofErr w:type="spellStart"/>
            <w:r>
              <w:rPr>
                <w:sz w:val="20"/>
                <w:szCs w:val="20"/>
              </w:rPr>
              <w:t>Building</w:t>
            </w:r>
            <w:proofErr w:type="spellEnd"/>
            <w:r>
              <w:rPr>
                <w:sz w:val="20"/>
                <w:szCs w:val="20"/>
              </w:rPr>
              <w:t xml:space="preserve"> and </w:t>
            </w:r>
            <w:proofErr w:type="spellStart"/>
            <w:r>
              <w:rPr>
                <w:sz w:val="20"/>
                <w:szCs w:val="20"/>
              </w:rPr>
              <w:t>Lifestyle</w:t>
            </w:r>
            <w:proofErr w:type="spellEnd"/>
            <w:r>
              <w:rPr>
                <w:sz w:val="20"/>
                <w:szCs w:val="20"/>
              </w:rPr>
              <w:t xml:space="preserve"> s. r. o, Gelnica</w:t>
            </w: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 xml:space="preserve"> V okrese Gelnica: 1 </w:t>
            </w:r>
          </w:p>
          <w:p>
            <w:pPr>
              <w:rPr>
                <w:sz w:val="20"/>
                <w:szCs w:val="20"/>
              </w:rPr>
            </w:pPr>
            <w:r>
              <w:rPr>
                <w:sz w:val="20"/>
                <w:szCs w:val="20"/>
              </w:rPr>
              <w:t>V okrese Košice  5</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sz w:val="20"/>
                <w:szCs w:val="20"/>
              </w:rPr>
              <w:t>4</w:t>
            </w: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Aspoň 2 konkrétne pracovné ponuky (</w:t>
            </w:r>
            <w:proofErr w:type="spellStart"/>
            <w:r>
              <w:rPr>
                <w:b/>
                <w:bCs/>
                <w:sz w:val="24"/>
                <w:szCs w:val="24"/>
              </w:rPr>
              <w:t>ISTP.sk</w:t>
            </w:r>
            <w:proofErr w:type="spellEnd"/>
            <w:r>
              <w:rPr>
                <w:b/>
                <w:bCs/>
                <w:sz w:val="24"/>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pStyle w:val="Nadpis2"/>
              <w:spacing w:before="0"/>
              <w:rPr>
                <w:rFonts w:asciiTheme="minorHAnsi" w:hAnsiTheme="minorHAnsi"/>
                <w:b w:val="0"/>
                <w:color w:val="auto"/>
                <w:sz w:val="20"/>
                <w:szCs w:val="20"/>
              </w:rPr>
            </w:pPr>
            <w:r>
              <w:rPr>
                <w:rFonts w:asciiTheme="minorHAnsi" w:hAnsiTheme="minorHAnsi"/>
                <w:b w:val="0"/>
                <w:color w:val="auto"/>
                <w:sz w:val="20"/>
                <w:szCs w:val="20"/>
              </w:rPr>
              <w:t>Gymnázium Gelnica</w:t>
            </w:r>
          </w:p>
          <w:p>
            <w:pPr>
              <w:pStyle w:val="Nadpis2"/>
              <w:spacing w:before="0"/>
              <w:rPr>
                <w:rFonts w:asciiTheme="minorHAnsi" w:hAnsiTheme="minorHAnsi"/>
                <w:b w:val="0"/>
                <w:color w:val="auto"/>
                <w:sz w:val="20"/>
                <w:szCs w:val="20"/>
              </w:rPr>
            </w:pPr>
            <w:proofErr w:type="spellStart"/>
            <w:r>
              <w:rPr>
                <w:rFonts w:asciiTheme="minorHAnsi" w:hAnsiTheme="minorHAnsi"/>
                <w:b w:val="0"/>
                <w:color w:val="auto"/>
                <w:sz w:val="20"/>
                <w:szCs w:val="20"/>
              </w:rPr>
              <w:t>Arcos</w:t>
            </w:r>
            <w:proofErr w:type="spellEnd"/>
            <w:r>
              <w:rPr>
                <w:rFonts w:asciiTheme="minorHAnsi" w:hAnsiTheme="minorHAnsi"/>
                <w:b w:val="0"/>
                <w:color w:val="auto"/>
                <w:sz w:val="20"/>
                <w:szCs w:val="20"/>
              </w:rPr>
              <w:t xml:space="preserve"> FM SK, s.r.o., Košice</w:t>
            </w:r>
          </w:p>
          <w:p>
            <w:pPr>
              <w:pStyle w:val="Nadpis2"/>
              <w:spacing w:before="0"/>
              <w:rPr>
                <w:rFonts w:asciiTheme="minorHAnsi" w:hAnsiTheme="minorHAnsi"/>
                <w:b w:val="0"/>
                <w:color w:val="auto"/>
                <w:sz w:val="20"/>
                <w:szCs w:val="20"/>
              </w:rPr>
            </w:pPr>
            <w:r>
              <w:rPr>
                <w:rFonts w:asciiTheme="minorHAnsi" w:hAnsiTheme="minorHAnsi"/>
                <w:b w:val="0"/>
                <w:color w:val="auto"/>
                <w:sz w:val="20"/>
                <w:szCs w:val="20"/>
              </w:rPr>
              <w:t>ATALIAN SK s. r. o., Košice</w:t>
            </w:r>
          </w:p>
          <w:p>
            <w:pPr>
              <w:spacing w:after="0"/>
              <w:rPr>
                <w:sz w:val="20"/>
                <w:szCs w:val="20"/>
              </w:rPr>
            </w:pPr>
            <w:r>
              <w:rPr>
                <w:sz w:val="20"/>
                <w:szCs w:val="20"/>
              </w:rPr>
              <w:t>ZŠ Spišská Nová Ves, Lipová 13</w:t>
            </w:r>
          </w:p>
          <w:p>
            <w:pPr>
              <w:spacing w:after="0"/>
              <w:rPr>
                <w:sz w:val="20"/>
                <w:szCs w:val="20"/>
              </w:rPr>
            </w:pP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ZŠ Spišská Nová Ves, Lipová 13</w:t>
            </w:r>
          </w:p>
          <w:p>
            <w:pPr>
              <w:spacing w:after="0"/>
              <w:rPr>
                <w:sz w:val="20"/>
                <w:szCs w:val="20"/>
              </w:rPr>
            </w:pPr>
            <w:r>
              <w:rPr>
                <w:sz w:val="20"/>
                <w:szCs w:val="20"/>
              </w:rPr>
              <w:t>ZŠ s MŠ Nálepkovo</w:t>
            </w:r>
          </w:p>
          <w:p>
            <w:pPr>
              <w:spacing w:after="0"/>
              <w:rPr>
                <w:sz w:val="20"/>
                <w:szCs w:val="20"/>
              </w:rPr>
            </w:pPr>
            <w:proofErr w:type="spellStart"/>
            <w:r>
              <w:rPr>
                <w:sz w:val="20"/>
                <w:szCs w:val="20"/>
              </w:rPr>
              <w:t>Building</w:t>
            </w:r>
            <w:proofErr w:type="spellEnd"/>
            <w:r>
              <w:rPr>
                <w:sz w:val="20"/>
                <w:szCs w:val="20"/>
              </w:rPr>
              <w:t xml:space="preserve"> and </w:t>
            </w:r>
            <w:proofErr w:type="spellStart"/>
            <w:r>
              <w:rPr>
                <w:sz w:val="20"/>
                <w:szCs w:val="20"/>
              </w:rPr>
              <w:t>Lifestyle</w:t>
            </w:r>
            <w:proofErr w:type="spellEnd"/>
            <w:r>
              <w:rPr>
                <w:sz w:val="20"/>
                <w:szCs w:val="20"/>
              </w:rPr>
              <w:t xml:space="preserve"> s. r. o, Gelnica</w:t>
            </w:r>
          </w:p>
        </w:tc>
      </w:tr>
    </w:tbl>
    <w:p>
      <w:pPr>
        <w:pStyle w:val="Nadpis1"/>
        <w:spacing w:before="0" w:after="0"/>
        <w:rPr>
          <w:rFonts w:asciiTheme="minorHAnsi" w:eastAsia="Arial" w:hAnsiTheme="minorHAnsi"/>
          <w:sz w:val="32"/>
        </w:rPr>
      </w:pPr>
    </w:p>
    <w:p>
      <w:pPr>
        <w:pStyle w:val="Nadpis1"/>
        <w:spacing w:before="0" w:after="0"/>
        <w:rPr>
          <w:rFonts w:asciiTheme="minorHAnsi" w:hAnsiTheme="minorHAnsi"/>
          <w:sz w:val="24"/>
          <w:szCs w:val="24"/>
        </w:rPr>
      </w:pPr>
      <w:r>
        <w:rPr>
          <w:rFonts w:asciiTheme="minorHAnsi" w:eastAsia="Arial" w:hAnsiTheme="minorHAnsi"/>
          <w:sz w:val="24"/>
          <w:szCs w:val="24"/>
        </w:rPr>
        <w:t xml:space="preserve">6. Vykonané aktivity </w:t>
      </w:r>
      <w:bookmarkEnd w:id="3"/>
      <w:r>
        <w:rPr>
          <w:rFonts w:asciiTheme="minorHAnsi" w:eastAsia="Arial" w:hAnsiTheme="minorHAnsi"/>
          <w:sz w:val="24"/>
          <w:szCs w:val="24"/>
        </w:rPr>
        <w:t>v oblasti kontaktu s trhom práce</w:t>
      </w:r>
    </w:p>
    <w:tbl>
      <w:tblPr>
        <w:tblW w:w="5000" w:type="pct"/>
        <w:tblCellMar>
          <w:left w:w="0" w:type="dxa"/>
          <w:right w:w="0" w:type="dxa"/>
        </w:tblCellMar>
        <w:tblLook w:val="04A0" w:firstRow="1" w:lastRow="0" w:firstColumn="1" w:lastColumn="0" w:noHBand="0" w:noVBand="1"/>
      </w:tblPr>
      <w:tblGrid>
        <w:gridCol w:w="3028"/>
        <w:gridCol w:w="2040"/>
        <w:gridCol w:w="1896"/>
        <w:gridCol w:w="2891"/>
      </w:tblGrid>
      <w:tr>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 xml:space="preserve">Vypracovanie životopisu, žiadosti o prijatie do zamestnania  </w:t>
            </w:r>
          </w:p>
          <w:p>
            <w:pPr>
              <w:spacing w:after="0"/>
            </w:pPr>
          </w:p>
          <w:p>
            <w:pPr>
              <w:spacing w:after="0"/>
            </w:pPr>
          </w:p>
          <w:p>
            <w:pPr>
              <w:spacing w:after="0"/>
            </w:pPr>
          </w:p>
          <w:p>
            <w:pPr>
              <w:spacing w:after="0"/>
              <w:rPr>
                <w:sz w:val="20"/>
                <w:szCs w:val="20"/>
              </w:rPr>
            </w:pPr>
            <w:r>
              <w:t>Sledovanie pracovných ponúk</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12.6. –22.7.2019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Vypracovať štruktúrovaný životopis,  žiadosť o prijatie do </w:t>
            </w:r>
            <w:proofErr w:type="spellStart"/>
            <w:r>
              <w:rPr>
                <w:sz w:val="20"/>
                <w:szCs w:val="20"/>
              </w:rPr>
              <w:t>zam</w:t>
            </w:r>
            <w:proofErr w:type="spellEnd"/>
            <w:r>
              <w:rPr>
                <w:sz w:val="20"/>
                <w:szCs w:val="20"/>
              </w:rPr>
              <w:t xml:space="preserve">., </w:t>
            </w:r>
          </w:p>
          <w:p>
            <w:pPr>
              <w:spacing w:after="0"/>
              <w:rPr>
                <w:sz w:val="20"/>
                <w:szCs w:val="20"/>
              </w:rPr>
            </w:pPr>
            <w:r>
              <w:rPr>
                <w:sz w:val="20"/>
                <w:szCs w:val="20"/>
              </w:rPr>
              <w:t>získať prehľad o pracovných ponukách</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v spolupráci s poradcom boli vypracované dokumenty, </w:t>
            </w:r>
          </w:p>
          <w:p>
            <w:pPr>
              <w:spacing w:after="0"/>
              <w:rPr>
                <w:sz w:val="20"/>
                <w:szCs w:val="20"/>
              </w:rPr>
            </w:pPr>
          </w:p>
          <w:p>
            <w:pPr>
              <w:spacing w:after="0"/>
              <w:rPr>
                <w:sz w:val="20"/>
                <w:szCs w:val="20"/>
              </w:rPr>
            </w:pPr>
            <w:r>
              <w:rPr>
                <w:sz w:val="20"/>
                <w:szCs w:val="20"/>
              </w:rPr>
              <w:t>získala prehľad o ponúkaných pracovných miestach, a zistila že musí sama aktívne sledovať prac. ponuky</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Vyhľadávanie zamestnávateľov podľa cieľových zamestnaní</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12.6.2019 – 29.7.2019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Získať prehľad a kontakty na zamestnávateľov</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Vyhľadala kontakty na zamestnávateľov, ktorých bude oslovovať</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Nácvik pracovného pohovoru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15.7.2019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Získať  zručnosti</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Na modelovej situácii si overila na vyhľadanú pracovnú ponuku svoje zručnosti efektívneho pracovného  pohovoru</w:t>
            </w:r>
          </w:p>
        </w:tc>
      </w:tr>
    </w:tbl>
    <w:p>
      <w:pPr>
        <w:pStyle w:val="Nadpis1"/>
        <w:spacing w:before="120" w:after="120"/>
        <w:rPr>
          <w:rFonts w:asciiTheme="minorHAnsi" w:eastAsia="Arial" w:hAnsiTheme="minorHAnsi"/>
          <w:sz w:val="24"/>
          <w:szCs w:val="24"/>
        </w:rPr>
      </w:pPr>
      <w:bookmarkStart w:id="5" w:name="_Toc390942119"/>
      <w:r>
        <w:rPr>
          <w:rFonts w:asciiTheme="minorHAnsi" w:eastAsia="Arial" w:hAnsiTheme="minorHAnsi"/>
          <w:sz w:val="24"/>
          <w:szCs w:val="24"/>
        </w:rPr>
        <w:lastRenderedPageBreak/>
        <w:t>7. Akčný plán</w:t>
      </w:r>
      <w:bookmarkEnd w:id="5"/>
      <w:r>
        <w:rPr>
          <w:rFonts w:asciiTheme="minorHAnsi" w:eastAsia="Arial" w:hAnsiTheme="minorHAnsi"/>
          <w:sz w:val="24"/>
          <w:szCs w:val="24"/>
        </w:rPr>
        <w:t xml:space="preserve"> pre uplatnenie DN </w:t>
      </w:r>
      <w:proofErr w:type="spellStart"/>
      <w:r>
        <w:rPr>
          <w:rFonts w:asciiTheme="minorHAnsi" w:eastAsia="Arial" w:hAnsiTheme="minorHAnsi"/>
          <w:sz w:val="24"/>
          <w:szCs w:val="24"/>
        </w:rPr>
        <w:t>UoZ</w:t>
      </w:r>
      <w:proofErr w:type="spellEnd"/>
      <w:r>
        <w:rPr>
          <w:rFonts w:asciiTheme="minorHAnsi" w:eastAsia="Arial" w:hAnsiTheme="minorHAnsi"/>
          <w:sz w:val="24"/>
          <w:szCs w:val="24"/>
        </w:rPr>
        <w:t xml:space="preserve"> na trhu práce</w:t>
      </w:r>
    </w:p>
    <w:p>
      <w:pPr>
        <w:jc w:val="both"/>
        <w:rPr>
          <w:i/>
          <w:sz w:val="16"/>
          <w:szCs w:val="16"/>
        </w:rPr>
      </w:pPr>
      <w:r>
        <w:rPr>
          <w:i/>
          <w:sz w:val="16"/>
          <w:szCs w:val="16"/>
        </w:rPr>
        <w:t xml:space="preserve">Poznámka: Akčný musí obsahovať popis plánovaných aktivít DN </w:t>
      </w:r>
      <w:proofErr w:type="spellStart"/>
      <w:r>
        <w:rPr>
          <w:i/>
          <w:sz w:val="16"/>
          <w:szCs w:val="16"/>
        </w:rPr>
        <w:t>UoZ</w:t>
      </w:r>
      <w:proofErr w:type="spellEnd"/>
      <w:r>
        <w:rPr>
          <w:i/>
          <w:sz w:val="16"/>
          <w:szCs w:val="16"/>
        </w:rPr>
        <w:t xml:space="preserve"> na obdobie najmenej 3 </w:t>
      </w:r>
      <w:proofErr w:type="spellStart"/>
      <w:r>
        <w:rPr>
          <w:i/>
          <w:sz w:val="16"/>
          <w:szCs w:val="16"/>
        </w:rPr>
        <w:t>mesiacovpo</w:t>
      </w:r>
      <w:proofErr w:type="spellEnd"/>
      <w:r>
        <w:rPr>
          <w:i/>
          <w:sz w:val="16"/>
          <w:szCs w:val="16"/>
        </w:rPr>
        <w:t xml:space="preserve"> ukončení 1. etapy bilancie kompetencií, pričom aspoň jedna z  </w:t>
      </w:r>
      <w:proofErr w:type="spellStart"/>
      <w:r>
        <w:rPr>
          <w:i/>
          <w:sz w:val="16"/>
          <w:szCs w:val="16"/>
        </w:rPr>
        <w:t>zamestnanienich</w:t>
      </w:r>
      <w:proofErr w:type="spellEnd"/>
      <w:r>
        <w:rPr>
          <w:i/>
          <w:sz w:val="16"/>
          <w:szCs w:val="16"/>
        </w:rPr>
        <w:t xml:space="preserve"> musí byť termínovaná do 14 kalendárnych dní od ukončenia 1. etapy Bilancie kompetencií.  </w:t>
      </w:r>
    </w:p>
    <w:tbl>
      <w:tblPr>
        <w:tblW w:w="5000" w:type="pct"/>
        <w:jc w:val="center"/>
        <w:tblCellMar>
          <w:left w:w="0" w:type="dxa"/>
          <w:right w:w="0" w:type="dxa"/>
        </w:tblCellMar>
        <w:tblLook w:val="04A0" w:firstRow="1" w:lastRow="0" w:firstColumn="1" w:lastColumn="0" w:noHBand="0" w:noVBand="1"/>
      </w:tblPr>
      <w:tblGrid>
        <w:gridCol w:w="1516"/>
        <w:gridCol w:w="5014"/>
        <w:gridCol w:w="3325"/>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bCs/>
                <w:sz w:val="20"/>
                <w:szCs w:val="20"/>
              </w:rPr>
              <w:t>Do12.8.2019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Osobné uchádzanie sa o zamestnanie:  Reštaurácia Orol Švedlár  </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Overiť si možnosť zamestnať sa, osobne doručiť zamestnávateľovi </w:t>
            </w:r>
            <w:proofErr w:type="spellStart"/>
            <w:r>
              <w:rPr>
                <w:sz w:val="20"/>
                <w:szCs w:val="20"/>
              </w:rPr>
              <w:t>žiadosť+CV</w:t>
            </w:r>
            <w:proofErr w:type="spellEnd"/>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Do12.9.2019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r>
              <w:rPr>
                <w:sz w:val="20"/>
                <w:szCs w:val="20"/>
              </w:rPr>
              <w:t xml:space="preserve">Informovať sa na úrade práce  o príspevkoch na zamestnanie znevýhodneného </w:t>
            </w:r>
            <w:proofErr w:type="spellStart"/>
            <w:r>
              <w:rPr>
                <w:sz w:val="20"/>
                <w:szCs w:val="20"/>
              </w:rPr>
              <w:t>UoZ</w:t>
            </w:r>
            <w:proofErr w:type="spellEnd"/>
            <w:r>
              <w:rPr>
                <w:sz w:val="20"/>
                <w:szCs w:val="20"/>
              </w:rPr>
              <w:t xml:space="preserve">  </w:t>
            </w:r>
          </w:p>
          <w:p>
            <w:pPr>
              <w:pStyle w:val="Odsekzoznamu"/>
              <w:spacing w:after="0"/>
              <w:rPr>
                <w:sz w:val="20"/>
                <w:szCs w:val="20"/>
              </w:rPr>
            </w:pPr>
          </w:p>
          <w:p>
            <w:pPr>
              <w:spacing w:after="0"/>
              <w:rPr>
                <w:sz w:val="20"/>
                <w:szCs w:val="20"/>
              </w:rPr>
            </w:pPr>
          </w:p>
          <w:p>
            <w:pPr>
              <w:spacing w:after="0"/>
              <w:rPr>
                <w:sz w:val="20"/>
                <w:szCs w:val="20"/>
              </w:rPr>
            </w:pPr>
          </w:p>
          <w:p>
            <w:pPr>
              <w:spacing w:after="0"/>
              <w:rPr>
                <w:sz w:val="20"/>
                <w:szCs w:val="20"/>
              </w:rPr>
            </w:pPr>
          </w:p>
          <w:p>
            <w:pPr>
              <w:spacing w:after="0"/>
              <w:rPr>
                <w:sz w:val="20"/>
                <w:szCs w:val="20"/>
              </w:rPr>
            </w:pPr>
            <w:r>
              <w:rPr>
                <w:sz w:val="20"/>
                <w:szCs w:val="20"/>
              </w:rPr>
              <w:t>Zaslať  2 žiadosti o prijatie do zamestnania  vytypovaným zamestnávateľom</w:t>
            </w:r>
          </w:p>
          <w:p>
            <w:pPr>
              <w:spacing w:after="0"/>
              <w:rPr>
                <w:sz w:val="20"/>
                <w:szCs w:val="20"/>
              </w:rPr>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Získať informačné letáky o poskytovaných príspevkoch pre zamestnávateľov, a tie v prípade osobného kontaktu poskytnúť  </w:t>
            </w:r>
            <w:proofErr w:type="spellStart"/>
            <w:r>
              <w:rPr>
                <w:sz w:val="20"/>
                <w:szCs w:val="20"/>
              </w:rPr>
              <w:t>potencionálnemu</w:t>
            </w:r>
            <w:proofErr w:type="spellEnd"/>
            <w:r>
              <w:rPr>
                <w:sz w:val="20"/>
                <w:szCs w:val="20"/>
              </w:rPr>
              <w:t xml:space="preserve"> zamestnávateľovi  </w:t>
            </w:r>
          </w:p>
          <w:p>
            <w:pPr>
              <w:spacing w:after="0"/>
              <w:rPr>
                <w:sz w:val="20"/>
                <w:szCs w:val="20"/>
              </w:rPr>
            </w:pPr>
          </w:p>
          <w:p>
            <w:pPr>
              <w:spacing w:after="0"/>
              <w:rPr>
                <w:sz w:val="20"/>
                <w:szCs w:val="20"/>
              </w:rPr>
            </w:pPr>
            <w:r>
              <w:rPr>
                <w:sz w:val="20"/>
                <w:szCs w:val="20"/>
              </w:rPr>
              <w:t>Získať zamestnanie, zvýšiť frekvenciu uchádzania sa o zamestnanie</w:t>
            </w:r>
          </w:p>
          <w:p>
            <w:pPr>
              <w:spacing w:after="0"/>
              <w:rPr>
                <w:sz w:val="20"/>
                <w:szCs w:val="20"/>
              </w:rPr>
            </w:pPr>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Do12.11.2019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Zaslať  2 žiadosti o prijatie do zamestnania  vytypovaným zamestnávateľom</w:t>
            </w:r>
          </w:p>
          <w:p>
            <w:pPr>
              <w:spacing w:after="0"/>
              <w:rPr>
                <w:sz w:val="20"/>
                <w:szCs w:val="20"/>
              </w:rPr>
            </w:pPr>
          </w:p>
          <w:p>
            <w:pPr>
              <w:spacing w:after="0"/>
              <w:rPr>
                <w:sz w:val="20"/>
                <w:szCs w:val="20"/>
              </w:rPr>
            </w:pPr>
            <w:r>
              <w:rPr>
                <w:sz w:val="20"/>
                <w:szCs w:val="20"/>
              </w:rPr>
              <w:t>Vyhľadávať pracovné ponuky</w:t>
            </w:r>
          </w:p>
          <w:p>
            <w:pPr>
              <w:spacing w:after="0"/>
              <w:rPr>
                <w:sz w:val="20"/>
                <w:szCs w:val="20"/>
              </w:rPr>
            </w:pPr>
          </w:p>
          <w:p>
            <w:pPr>
              <w:spacing w:after="0"/>
              <w:rPr>
                <w:sz w:val="20"/>
                <w:szCs w:val="20"/>
              </w:rPr>
            </w:pPr>
            <w:r>
              <w:rPr>
                <w:sz w:val="20"/>
                <w:szCs w:val="20"/>
              </w:rPr>
              <w:t xml:space="preserve">Získať ponuky rekvalifikačných kurzov - Odborná spôsobilosť pre prácu s potravinami </w:t>
            </w:r>
          </w:p>
          <w:p>
            <w:pPr>
              <w:spacing w:after="0"/>
              <w:rPr>
                <w:sz w:val="20"/>
                <w:szCs w:val="20"/>
              </w:rPr>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Získať zamestnanie, zvýšiť frekvenciu uchádzania sa o zamestnanie</w:t>
            </w:r>
          </w:p>
          <w:p>
            <w:pPr>
              <w:spacing w:after="0"/>
              <w:rPr>
                <w:sz w:val="20"/>
                <w:szCs w:val="20"/>
              </w:rPr>
            </w:pPr>
          </w:p>
          <w:p>
            <w:pPr>
              <w:spacing w:after="0"/>
              <w:rPr>
                <w:sz w:val="20"/>
                <w:szCs w:val="20"/>
              </w:rPr>
            </w:pPr>
            <w:r>
              <w:rPr>
                <w:sz w:val="20"/>
                <w:szCs w:val="20"/>
              </w:rPr>
              <w:t>Mať aktuálny prehľad o </w:t>
            </w:r>
            <w:proofErr w:type="spellStart"/>
            <w:r>
              <w:rPr>
                <w:sz w:val="20"/>
                <w:szCs w:val="20"/>
              </w:rPr>
              <w:t>vpm</w:t>
            </w:r>
            <w:proofErr w:type="spellEnd"/>
          </w:p>
          <w:p>
            <w:pPr>
              <w:spacing w:after="0"/>
              <w:rPr>
                <w:sz w:val="20"/>
                <w:szCs w:val="20"/>
              </w:rPr>
            </w:pPr>
          </w:p>
          <w:p>
            <w:pPr>
              <w:spacing w:after="0"/>
              <w:rPr>
                <w:sz w:val="20"/>
                <w:szCs w:val="20"/>
              </w:rPr>
            </w:pPr>
            <w:r>
              <w:rPr>
                <w:sz w:val="20"/>
                <w:szCs w:val="20"/>
              </w:rPr>
              <w:t xml:space="preserve">Podať si požiadavku prostredníctvom </w:t>
            </w:r>
            <w:proofErr w:type="spellStart"/>
            <w:r>
              <w:rPr>
                <w:sz w:val="20"/>
                <w:szCs w:val="20"/>
              </w:rPr>
              <w:t>úpsvr</w:t>
            </w:r>
            <w:proofErr w:type="spellEnd"/>
            <w:r>
              <w:rPr>
                <w:sz w:val="20"/>
                <w:szCs w:val="20"/>
              </w:rPr>
              <w:t xml:space="preserve"> na rekvalifikáciu</w:t>
            </w:r>
          </w:p>
        </w:tc>
      </w:tr>
    </w:tbl>
    <w:bookmarkStart w:id="6" w:name="_Toc390942117"/>
    <w:p>
      <w:pPr>
        <w:pStyle w:val="Nadpis1"/>
        <w:spacing w:before="120" w:after="0"/>
        <w:rPr>
          <w:rFonts w:asciiTheme="minorHAnsi" w:eastAsia="Arial" w:hAnsiTheme="minorHAnsi"/>
          <w:sz w:val="16"/>
          <w:szCs w:val="16"/>
        </w:rPr>
      </w:pPr>
      <w:r>
        <w:rPr>
          <w:b w:val="0"/>
          <w:noProof/>
          <w:sz w:val="24"/>
          <w:szCs w:val="24"/>
          <w:lang w:eastAsia="sk-SK"/>
        </w:rPr>
        <mc:AlternateContent>
          <mc:Choice Requires="wps">
            <w:drawing>
              <wp:anchor distT="45720" distB="45720" distL="114300" distR="114300" simplePos="0" relativeHeight="251662336" behindDoc="0" locked="0" layoutInCell="1" allowOverlap="1">
                <wp:simplePos x="0" y="0"/>
                <wp:positionH relativeFrom="margin">
                  <wp:posOffset>-160020</wp:posOffset>
                </wp:positionH>
                <wp:positionV relativeFrom="paragraph">
                  <wp:posOffset>416560</wp:posOffset>
                </wp:positionV>
                <wp:extent cx="6753225" cy="21907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190750"/>
                        </a:xfrm>
                        <a:prstGeom prst="rect">
                          <a:avLst/>
                        </a:prstGeom>
                        <a:solidFill>
                          <a:srgbClr val="FFFFFF"/>
                        </a:solidFill>
                        <a:ln w="9525">
                          <a:solidFill>
                            <a:srgbClr val="000000"/>
                          </a:solidFill>
                          <a:miter lim="800000"/>
                          <a:headEnd/>
                          <a:tailEnd/>
                        </a:ln>
                      </wps:spPr>
                      <wps:txbx>
                        <w:txbxContent>
                          <w:p>
                            <w:pPr>
                              <w:jc w:val="both"/>
                              <w:rPr>
                                <w:i/>
                              </w:rPr>
                            </w:pPr>
                            <w:r>
                              <w:rPr>
                                <w:i/>
                              </w:rPr>
                              <w:t xml:space="preserve">Pani </w:t>
                            </w:r>
                            <w:proofErr w:type="spellStart"/>
                            <w:r>
                              <w:rPr>
                                <w:i/>
                              </w:rPr>
                              <w:t>Plachetková</w:t>
                            </w:r>
                            <w:proofErr w:type="spellEnd"/>
                            <w:r>
                              <w:rPr>
                                <w:i/>
                              </w:rPr>
                              <w:t xml:space="preserve">, uvádzate,  že za hlavný prínos bilancie kompetencií považujete to, že viete pomenovať svoje zručnosti, že ste si na základe toho vedela zvoliť konkrétne cieľové zamestnanie, čo Vám uľahčí uchádzanie sa o zamestnanie. Ďalej pozitívne hodnotíte  nácvik </w:t>
                            </w:r>
                            <w:proofErr w:type="spellStart"/>
                            <w:r>
                              <w:rPr>
                                <w:i/>
                              </w:rPr>
                              <w:t>sebaprezenácie</w:t>
                            </w:r>
                            <w:proofErr w:type="spellEnd"/>
                            <w:r>
                              <w:rPr>
                                <w:i/>
                              </w:rPr>
                              <w:t xml:space="preserve"> na pracovný pohovor, čo Vám dodalo odvahu osobne kontaktovať   zamestnávateľov. Odporúčam Vám dodržať obsahovú a   časovú schému uvedenú  v akčnom pláne. Nepoľavovať vo vyhľadávaní pracovných ponúk, kontaktovať aj takých zamestnávateľov, ktorí nemajú zverejnené voľné pracovné miesto. Z dôvodu zvýšenia šance získať 2. cieľové zamestnanie odporúčam Vám absolvovanie RK – aby ste získala osvedčenie pre prácu s potravinami. Dôležité je, aby ste zvolila aktívnejší prístup k riešenie svojej nezamestnanosti. </w:t>
                            </w:r>
                          </w:p>
                          <w:p>
                            <w:pPr>
                              <w:jc w:val="both"/>
                              <w:rPr>
                                <w:i/>
                              </w:rPr>
                            </w:pPr>
                            <w:r>
                              <w:rPr>
                                <w:i/>
                              </w:rPr>
                              <w:t>Ďalej Vám odporúčam, a to aj vzhľadom na nízke vzdelanie ako aj Váš vek zvýšiť si vzdelanie formou externého štúdia  napr. aj v učebnom odbore kuchárka.</w:t>
                            </w:r>
                          </w:p>
                          <w:p>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2.6pt;margin-top:32.8pt;width:531.75pt;height:1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">
                <v:textbox>
                  <w:txbxContent>
                    <w:p>
                      <w:pPr>
                        <w:jc w:val="both"/>
                        <w:rPr>
                          <w:i/>
                        </w:rPr>
                      </w:pPr>
                      <w:r>
                        <w:rPr>
                          <w:i/>
                        </w:rPr>
                        <w:t xml:space="preserve">Pani </w:t>
                      </w:r>
                      <w:proofErr w:type="spellStart"/>
                      <w:r>
                        <w:rPr>
                          <w:i/>
                        </w:rPr>
                        <w:t>Plachetková</w:t>
                      </w:r>
                      <w:proofErr w:type="spellEnd"/>
                      <w:r>
                        <w:rPr>
                          <w:i/>
                        </w:rPr>
                        <w:t xml:space="preserve">, uvádzate,  že za hlavný prínos bilancie kompetencií považujete to, že viete pomenovať svoje zručnosti, že ste si na základe toho vedela zvoliť konkrétne cieľové zamestnanie, čo Vám uľahčí uchádzanie sa o zamestnanie. Ďalej pozitívne hodnotíte  nácvik </w:t>
                      </w:r>
                      <w:proofErr w:type="spellStart"/>
                      <w:r>
                        <w:rPr>
                          <w:i/>
                        </w:rPr>
                        <w:t>sebaprezenácie</w:t>
                      </w:r>
                      <w:proofErr w:type="spellEnd"/>
                      <w:r>
                        <w:rPr>
                          <w:i/>
                        </w:rPr>
                        <w:t xml:space="preserve"> na pracovný pohovor, čo Vám dodalo odvahu osobne kontaktovať   zamestnávateľov. Odporúčam Vám dodržať obsahovú a   časovú schému uvedenú  v akčnom pláne. Nepoľavovať vo vyhľadávaní pracovných ponúk, kontaktovať aj takých zamestnávateľov, ktorí nemajú zverejnené voľné pracovné miesto. Z dôvodu zvýšenia šance získať 2. cieľové zamestnanie odporúčam Vám absolvovanie RK – aby ste získala osvedčenie pre prácu s potravinami. Dôležité je, aby ste zvolila aktívnejší prístup k riešenie svojej nezamestnanosti. </w:t>
                      </w:r>
                    </w:p>
                    <w:p>
                      <w:pPr>
                        <w:jc w:val="both"/>
                        <w:rPr>
                          <w:i/>
                        </w:rPr>
                      </w:pPr>
                      <w:r>
                        <w:rPr>
                          <w:i/>
                        </w:rPr>
                        <w:t>Ďalej Vám odporúčam, a to aj vzhľadom na nízke vzdelanie ako aj Váš vek zvýšiť si vzdelanie formou externého</w:t>
                      </w:r>
                      <w:bookmarkStart w:id="7" w:name="_GoBack"/>
                      <w:bookmarkEnd w:id="7"/>
                      <w:r>
                        <w:rPr>
                          <w:i/>
                        </w:rPr>
                        <w:t xml:space="preserve"> štúdia  napr. aj v učebnom odbore kuchárka.</w:t>
                      </w:r>
                    </w:p>
                    <w:p>
                      <w:pPr>
                        <w:rPr>
                          <w:i/>
                        </w:rPr>
                      </w:pPr>
                    </w:p>
                  </w:txbxContent>
                </v:textbox>
                <w10:wrap type="square" anchorx="margin"/>
              </v:shape>
            </w:pict>
          </mc:Fallback>
        </mc:AlternateContent>
      </w:r>
      <w:r>
        <w:rPr>
          <w:rFonts w:asciiTheme="minorHAnsi" w:eastAsia="Arial" w:hAnsiTheme="minorHAnsi"/>
          <w:sz w:val="24"/>
          <w:szCs w:val="24"/>
        </w:rPr>
        <w:t>8.</w:t>
      </w:r>
      <w:r>
        <w:rPr>
          <w:rFonts w:asciiTheme="minorHAnsi" w:eastAsia="Arial" w:hAnsiTheme="minorHAnsi"/>
          <w:sz w:val="16"/>
          <w:szCs w:val="16"/>
        </w:rPr>
        <w:t xml:space="preserve"> </w:t>
      </w:r>
      <w:bookmarkEnd w:id="6"/>
      <w:r>
        <w:rPr>
          <w:rFonts w:asciiTheme="minorHAnsi" w:eastAsia="Arial" w:hAnsiTheme="minorHAnsi"/>
          <w:sz w:val="16"/>
          <w:szCs w:val="16"/>
        </w:rPr>
        <w:t>I</w:t>
      </w:r>
      <w:r>
        <w:rPr>
          <w:rFonts w:asciiTheme="minorHAnsi" w:eastAsia="Arial" w:hAnsiTheme="minorHAnsi"/>
          <w:sz w:val="24"/>
          <w:szCs w:val="24"/>
        </w:rPr>
        <w:t xml:space="preserve">ndividualizované odporúčania pre DN </w:t>
      </w:r>
      <w:proofErr w:type="spellStart"/>
      <w:r>
        <w:rPr>
          <w:rFonts w:asciiTheme="minorHAnsi" w:eastAsia="Arial" w:hAnsiTheme="minorHAnsi"/>
          <w:sz w:val="24"/>
          <w:szCs w:val="24"/>
        </w:rPr>
        <w:t>UoZ</w:t>
      </w:r>
      <w:proofErr w:type="spellEnd"/>
    </w:p>
    <w:p>
      <w:r>
        <w:t xml:space="preserve">Bola identifikovaná potreba vzdelávania: </w:t>
      </w:r>
      <w:proofErr w:type="spellStart"/>
      <w:r>
        <w:t>Xáno</w:t>
      </w:r>
      <w:proofErr w:type="spellEnd"/>
      <w:r>
        <w:t xml:space="preserve"> </w:t>
      </w:r>
      <w:sdt>
        <w:sdtPr>
          <w:id w:val="-1691526375"/>
        </w:sdtPr>
        <w:sdtContent>
          <w:r>
            <w:rPr>
              <w:rFonts w:ascii="MS Gothic" w:eastAsia="MS Gothic" w:hAnsi="MS Gothic" w:hint="eastAsia"/>
            </w:rPr>
            <w:t>☐</w:t>
          </w:r>
        </w:sdtContent>
      </w:sdt>
      <w:r>
        <w:t>nie</w:t>
      </w:r>
    </w:p>
    <w:p>
      <w:pPr>
        <w:spacing w:after="60"/>
        <w:rPr>
          <w:sz w:val="20"/>
          <w:szCs w:val="20"/>
        </w:rPr>
      </w:pPr>
      <w:r>
        <w:rPr>
          <w:sz w:val="24"/>
          <w:szCs w:val="24"/>
        </w:rPr>
        <w:t>Odporúčané vzdelávanie:</w:t>
      </w:r>
      <w:r>
        <w:t xml:space="preserve"> </w:t>
      </w:r>
      <w:r>
        <w:rPr>
          <w:sz w:val="20"/>
          <w:szCs w:val="20"/>
        </w:rPr>
        <w:t>Odborná spôsobilosť pre prácu s potravinami</w:t>
      </w:r>
    </w:p>
    <w:p/>
    <w:sectPr>
      <w:headerReference w:type="default" r:id="rId7"/>
      <w:footerReference w:type="default" r:id="rId8"/>
      <w:pgSz w:w="11906" w:h="16838"/>
      <w:pgMar w:top="1417" w:right="1700"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36"/>
        <w:tab w:val="right" w:pos="9072"/>
      </w:tabs>
      <w:spacing w:after="0" w:line="240" w:lineRule="auto"/>
      <w:jc w:val="center"/>
      <w:rPr>
        <w:rFonts w:ascii="Times New Roman" w:hAnsi="Times New Roman"/>
        <w:bCs/>
        <w:i/>
        <w:sz w:val="18"/>
        <w:szCs w:val="18"/>
        <w:lang w:eastAsia="cs-CZ"/>
      </w:rPr>
    </w:pPr>
    <w:r>
      <w:tab/>
    </w:r>
    <w:r>
      <w:rPr>
        <w:rFonts w:ascii="Times New Roman" w:hAnsi="Times New Roman"/>
        <w:bCs/>
        <w:i/>
        <w:sz w:val="18"/>
        <w:szCs w:val="18"/>
        <w:lang w:eastAsia="cs-CZ"/>
      </w:rPr>
      <w:t>Tento projekt sa realizuje vďaka podpore z Európskeho sociálneho fondu v rámci Operačného programu Ľudské zdroje</w:t>
    </w:r>
  </w:p>
  <w:p>
    <w:pPr>
      <w:tabs>
        <w:tab w:val="left" w:pos="2871"/>
      </w:tabs>
      <w:spacing w:after="0" w:line="240" w:lineRule="auto"/>
      <w:jc w:val="center"/>
      <w:rPr>
        <w:rFonts w:ascii="Times New Roman" w:hAnsi="Times New Roman"/>
        <w:i/>
        <w:sz w:val="18"/>
        <w:szCs w:val="18"/>
        <w:lang w:eastAsia="sk-SK"/>
      </w:rPr>
    </w:pPr>
    <w:proofErr w:type="spellStart"/>
    <w:r>
      <w:rPr>
        <w:rFonts w:ascii="Times New Roman" w:hAnsi="Times New Roman"/>
        <w:bCs/>
        <w:i/>
        <w:color w:val="4F81BD"/>
        <w:sz w:val="18"/>
        <w:szCs w:val="18"/>
        <w:lang w:eastAsia="cs-CZ"/>
      </w:rPr>
      <w:t>www.employment.gov.sk</w:t>
    </w:r>
    <w:proofErr w:type="spellEnd"/>
    <w:r>
      <w:rPr>
        <w:rFonts w:ascii="Times New Roman" w:hAnsi="Times New Roman"/>
        <w:bCs/>
        <w:i/>
        <w:color w:val="4F81BD"/>
        <w:sz w:val="18"/>
        <w:szCs w:val="18"/>
        <w:lang w:eastAsia="cs-CZ"/>
      </w:rPr>
      <w:t xml:space="preserve"> / </w:t>
    </w:r>
    <w:proofErr w:type="spellStart"/>
    <w:r>
      <w:rPr>
        <w:rFonts w:ascii="Times New Roman" w:hAnsi="Times New Roman"/>
        <w:bCs/>
        <w:i/>
        <w:color w:val="4F81BD"/>
        <w:sz w:val="18"/>
        <w:szCs w:val="18"/>
        <w:lang w:eastAsia="cs-CZ"/>
      </w:rPr>
      <w:t>www.esf.gov.sk</w:t>
    </w:r>
    <w:proofErr w:type="spellEnd"/>
  </w:p>
  <w:p>
    <w:pPr>
      <w:pStyle w:val="Pta"/>
      <w:jc w:val="right"/>
      <w:rPr>
        <w:rFonts w:ascii="Times New Roman" w:hAnsi="Times New Roman"/>
        <w:sz w:val="16"/>
        <w:szCs w:val="16"/>
      </w:rPr>
    </w:pPr>
    <w:r>
      <w:rPr>
        <w:rFonts w:ascii="Times New Roman" w:hAnsi="Times New Roman"/>
        <w:sz w:val="16"/>
        <w:szCs w:val="16"/>
      </w:rPr>
      <w:t xml:space="preserve">                                                                                                                                                                                                              Strana </w:t>
    </w:r>
    <w:r>
      <w:rPr>
        <w:rFonts w:ascii="Times New Roman" w:hAnsi="Times New Roman"/>
        <w:sz w:val="16"/>
        <w:szCs w:val="16"/>
      </w:rPr>
      <w:fldChar w:fldCharType="begin"/>
    </w:r>
    <w:r>
      <w:rPr>
        <w:rFonts w:ascii="Times New Roman" w:hAnsi="Times New Roman"/>
        <w:sz w:val="16"/>
        <w:szCs w:val="16"/>
      </w:rPr>
      <w:instrText xml:space="preserve"> PAGE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r>
      <w:rPr>
        <w:rFonts w:ascii="Times New Roman" w:hAnsi="Times New Roman"/>
        <w:sz w:val="16"/>
        <w:szCs w:val="16"/>
      </w:rPr>
      <w:t xml:space="preserve"> z </w:t>
    </w:r>
    <w:r>
      <w:rPr>
        <w:rFonts w:ascii="Times New Roman" w:hAnsi="Times New Roman"/>
        <w:sz w:val="16"/>
        <w:szCs w:val="16"/>
      </w:rPr>
      <w:fldChar w:fldCharType="begin"/>
    </w:r>
    <w:r>
      <w:rPr>
        <w:rFonts w:ascii="Times New Roman" w:hAnsi="Times New Roman"/>
        <w:sz w:val="16"/>
        <w:szCs w:val="16"/>
      </w:rPr>
      <w:instrText xml:space="preserve"> NUMPAGES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p>
  <w:p>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1"/>
    </w:pPr>
    <w:r>
      <w:rPr>
        <w:noProof/>
        <w:lang w:val="sk-SK" w:eastAsia="sk-SK"/>
      </w:rPr>
      <w:drawing>
        <wp:inline distT="0" distB="8890" distL="0" distR="0">
          <wp:extent cx="4993640" cy="429260"/>
          <wp:effectExtent l="19050" t="0" r="0" b="0"/>
          <wp:docPr id="68" name="Obrázok 1" descr="Popis: C:\Users\popadakoval\AppData\Local\Microsoft\Windows\Temporary Internet Files\Content.Outlook\0HQSK5H1\oplz+eu_1 ku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1" descr="Popis: C:\Users\popadakoval\AppData\Local\Microsoft\Windows\Temporary Internet Files\Content.Outlook\0HQSK5H1\oplz+eu_1 ku 5.jpg"/>
                  <pic:cNvPicPr>
                    <a:picLocks noChangeAspect="1" noChangeArrowheads="1"/>
                  </pic:cNvPicPr>
                </pic:nvPicPr>
                <pic:blipFill>
                  <a:blip r:embed="rId1"/>
                  <a:stretch>
                    <a:fillRect/>
                  </a:stretch>
                </pic:blipFill>
                <pic:spPr bwMode="auto">
                  <a:xfrm>
                    <a:off x="0" y="0"/>
                    <a:ext cx="4993640" cy="429260"/>
                  </a:xfrm>
                  <a:prstGeom prst="rect">
                    <a:avLst/>
                  </a:prstGeom>
                </pic:spPr>
              </pic:pic>
            </a:graphicData>
          </a:graphic>
        </wp:inline>
      </w:drawing>
    </w:r>
  </w:p>
  <w:p>
    <w:pPr>
      <w:pStyle w:val="Hlavika1"/>
      <w:jc w:val="right"/>
      <w:rPr>
        <w:rFonts w:ascii="Times New Roman" w:hAnsi="Times New Roman"/>
        <w:sz w:val="18"/>
        <w:szCs w:val="18"/>
      </w:rPr>
    </w:pPr>
    <w:r>
      <w:rPr>
        <w:rFonts w:ascii="Times New Roman" w:hAnsi="Times New Roman"/>
        <w:sz w:val="18"/>
        <w:szCs w:val="18"/>
      </w:rPr>
      <w:t xml:space="preserve">NP </w:t>
    </w:r>
    <w:proofErr w:type="spellStart"/>
    <w:r>
      <w:rPr>
        <w:rFonts w:ascii="Times New Roman" w:hAnsi="Times New Roman"/>
        <w:sz w:val="18"/>
        <w:szCs w:val="18"/>
      </w:rPr>
      <w:t>Podpora</w:t>
    </w:r>
    <w:proofErr w:type="spellEnd"/>
    <w:r>
      <w:rPr>
        <w:rFonts w:ascii="Times New Roman" w:hAnsi="Times New Roman"/>
        <w:sz w:val="18"/>
        <w:szCs w:val="18"/>
      </w:rPr>
      <w:t xml:space="preserve"> </w:t>
    </w:r>
    <w:proofErr w:type="spellStart"/>
    <w:r>
      <w:rPr>
        <w:rFonts w:ascii="Times New Roman" w:hAnsi="Times New Roman"/>
        <w:sz w:val="18"/>
        <w:szCs w:val="18"/>
      </w:rPr>
      <w:t>individualizovaného</w:t>
    </w:r>
    <w:proofErr w:type="spellEnd"/>
    <w:r>
      <w:rPr>
        <w:rFonts w:ascii="Times New Roman" w:hAnsi="Times New Roman"/>
        <w:sz w:val="18"/>
        <w:szCs w:val="18"/>
      </w:rPr>
      <w:t xml:space="preserve"> </w:t>
    </w:r>
    <w:proofErr w:type="spellStart"/>
    <w:r>
      <w:rPr>
        <w:rFonts w:ascii="Times New Roman" w:hAnsi="Times New Roman"/>
        <w:sz w:val="18"/>
        <w:szCs w:val="18"/>
      </w:rPr>
      <w:t>poradenstva</w:t>
    </w:r>
    <w:proofErr w:type="spellEnd"/>
  </w:p>
  <w:p>
    <w:pPr>
      <w:pStyle w:val="Hlavika1"/>
      <w:jc w:val="righ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roofErr w:type="gramStart"/>
    <w:r>
      <w:rPr>
        <w:rFonts w:ascii="Times New Roman" w:hAnsi="Times New Roman"/>
        <w:sz w:val="18"/>
        <w:szCs w:val="18"/>
      </w:rPr>
      <w:t>pre</w:t>
    </w:r>
    <w:proofErr w:type="gramEnd"/>
    <w:r>
      <w:rPr>
        <w:rFonts w:ascii="Times New Roman" w:hAnsi="Times New Roman"/>
        <w:sz w:val="18"/>
        <w:szCs w:val="18"/>
      </w:rPr>
      <w:t xml:space="preserve"> </w:t>
    </w:r>
    <w:proofErr w:type="spellStart"/>
    <w:r>
      <w:rPr>
        <w:rFonts w:ascii="Times New Roman" w:hAnsi="Times New Roman"/>
        <w:sz w:val="18"/>
        <w:szCs w:val="18"/>
      </w:rPr>
      <w:t>dlhodobo</w:t>
    </w:r>
    <w:proofErr w:type="spellEnd"/>
    <w:r>
      <w:rPr>
        <w:rFonts w:ascii="Times New Roman" w:hAnsi="Times New Roman"/>
        <w:sz w:val="18"/>
        <w:szCs w:val="18"/>
      </w:rPr>
      <w:t xml:space="preserve"> </w:t>
    </w:r>
    <w:proofErr w:type="spellStart"/>
    <w:r>
      <w:rPr>
        <w:rFonts w:ascii="Times New Roman" w:hAnsi="Times New Roman"/>
        <w:sz w:val="18"/>
        <w:szCs w:val="18"/>
      </w:rPr>
      <w:t>nezamestnaných</w:t>
    </w:r>
    <w:proofErr w:type="spellEnd"/>
    <w:r>
      <w:rPr>
        <w:rFonts w:ascii="Times New Roman" w:hAnsi="Times New Roman"/>
        <w:sz w:val="18"/>
        <w:szCs w:val="18"/>
      </w:rPr>
      <w:t xml:space="preserve"> </w:t>
    </w:r>
    <w:proofErr w:type="spellStart"/>
    <w:r>
      <w:rPr>
        <w:rFonts w:ascii="Times New Roman" w:hAnsi="Times New Roman"/>
        <w:sz w:val="18"/>
        <w:szCs w:val="18"/>
      </w:rPr>
      <w:t>UoZ</w:t>
    </w:r>
    <w:proofErr w:type="spellEnd"/>
    <w:r>
      <w:rPr>
        <w:rFonts w:ascii="Times New Roman" w:hAnsi="Times New Roman"/>
        <w:sz w:val="18"/>
        <w:szCs w:val="18"/>
      </w:rPr>
      <w:tab/>
    </w:r>
    <w:r>
      <w:rPr>
        <w:rFonts w:ascii="Times New Roman" w:hAnsi="Times New Roman"/>
        <w:sz w:val="18"/>
        <w:szCs w:val="18"/>
      </w:rPr>
      <w:tab/>
    </w:r>
  </w:p>
  <w:p>
    <w:pPr>
      <w:pStyle w:val="Hlavika1"/>
      <w:jc w:val="right"/>
      <w:rPr>
        <w:rFonts w:ascii="Times New Roman" w:hAnsi="Times New Roman"/>
        <w:sz w:val="18"/>
        <w:szCs w:val="18"/>
      </w:rPr>
    </w:pPr>
    <w:proofErr w:type="spellStart"/>
    <w:r>
      <w:rPr>
        <w:rFonts w:ascii="Times New Roman" w:hAnsi="Times New Roman"/>
        <w:sz w:val="18"/>
        <w:szCs w:val="18"/>
      </w:rPr>
      <w:t>Kód</w:t>
    </w:r>
    <w:proofErr w:type="spellEnd"/>
    <w:r>
      <w:rPr>
        <w:rFonts w:ascii="Times New Roman" w:hAnsi="Times New Roman"/>
        <w:sz w:val="18"/>
        <w:szCs w:val="18"/>
      </w:rPr>
      <w:t xml:space="preserve"> ITMS2014+: </w:t>
    </w:r>
    <w:r>
      <w:rPr>
        <w:rFonts w:ascii="Times New Roman" w:hAnsi="Times New Roman"/>
        <w:bCs/>
        <w:sz w:val="18"/>
        <w:szCs w:val="18"/>
      </w:rPr>
      <w:t>312031M635</w:t>
    </w:r>
  </w:p>
  <w:p>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character" w:customStyle="1" w:styleId="Nadpis2Char">
    <w:name w:val="Nadpis 2 Char"/>
    <w:basedOn w:val="Predvolenpsmoodseku"/>
    <w:link w:val="Nadpis2"/>
    <w:uiPriority w:val="9"/>
    <w:semiHidden/>
    <w:rPr>
      <w:rFonts w:asciiTheme="majorHAnsi" w:eastAsiaTheme="majorEastAsia" w:hAnsiTheme="majorHAnsi" w:cstheme="majorBidi"/>
      <w:b/>
      <w:bCs/>
      <w:color w:val="5B9BD5" w:themeColor="accent1"/>
      <w:sz w:val="26"/>
      <w:szCs w:val="26"/>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 w:type="character" w:styleId="Siln">
    <w:name w:val="Strong"/>
    <w:basedOn w:val="Predvolenpsmoodseku"/>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character" w:customStyle="1" w:styleId="Nadpis2Char">
    <w:name w:val="Nadpis 2 Char"/>
    <w:basedOn w:val="Predvolenpsmoodseku"/>
    <w:link w:val="Nadpis2"/>
    <w:uiPriority w:val="9"/>
    <w:semiHidden/>
    <w:rPr>
      <w:rFonts w:asciiTheme="majorHAnsi" w:eastAsiaTheme="majorEastAsia" w:hAnsiTheme="majorHAnsi" w:cstheme="majorBidi"/>
      <w:b/>
      <w:bCs/>
      <w:color w:val="5B9BD5" w:themeColor="accent1"/>
      <w:sz w:val="26"/>
      <w:szCs w:val="26"/>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 w:type="character" w:styleId="Siln">
    <w:name w:val="Strong"/>
    <w:basedOn w:val="Predvolenpsmoodseku"/>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535">
      <w:bodyDiv w:val="1"/>
      <w:marLeft w:val="0"/>
      <w:marRight w:val="0"/>
      <w:marTop w:val="0"/>
      <w:marBottom w:val="0"/>
      <w:divBdr>
        <w:top w:val="none" w:sz="0" w:space="0" w:color="auto"/>
        <w:left w:val="none" w:sz="0" w:space="0" w:color="auto"/>
        <w:bottom w:val="none" w:sz="0" w:space="0" w:color="auto"/>
        <w:right w:val="none" w:sz="0" w:space="0" w:color="auto"/>
      </w:divBdr>
    </w:div>
    <w:div w:id="1069498612">
      <w:bodyDiv w:val="1"/>
      <w:marLeft w:val="0"/>
      <w:marRight w:val="0"/>
      <w:marTop w:val="0"/>
      <w:marBottom w:val="0"/>
      <w:divBdr>
        <w:top w:val="none" w:sz="0" w:space="0" w:color="auto"/>
        <w:left w:val="none" w:sz="0" w:space="0" w:color="auto"/>
        <w:bottom w:val="none" w:sz="0" w:space="0" w:color="auto"/>
        <w:right w:val="none" w:sz="0" w:space="0" w:color="auto"/>
      </w:divBdr>
    </w:div>
    <w:div w:id="15139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897</Words>
  <Characters>5117</Characters>
  <Application>Microsoft Office Word</Application>
  <DocSecurity>0</DocSecurity>
  <Lines>42</Lines>
  <Paragraphs>12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Pavol Kmeť</dc:creator>
  <cp:lastModifiedBy>CL</cp:lastModifiedBy>
  <cp:revision>4</cp:revision>
  <cp:lastPrinted>2019-07-23T09:36:00Z</cp:lastPrinted>
  <dcterms:created xsi:type="dcterms:W3CDTF">2019-08-05T09:49:00Z</dcterms:created>
  <dcterms:modified xsi:type="dcterms:W3CDTF">2019-08-09T10:05:00Z</dcterms:modified>
</cp:coreProperties>
</file>