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Arial" w:hAnsi="Arial" w:cs="Arial"/>
          <w:b/>
          <w:sz w:val="12"/>
          <w:szCs w:val="12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HÁROK HODNOTITEĽA</w:t>
      </w:r>
    </w:p>
    <w:p>
      <w:pPr>
        <w:jc w:val="center"/>
        <w:rPr>
          <w:rFonts w:ascii="Arial" w:hAnsi="Arial" w:cs="Arial"/>
          <w:b/>
          <w:sz w:val="12"/>
          <w:szCs w:val="12"/>
        </w:rPr>
      </w:pPr>
    </w:p>
    <w:tbl>
      <w:tblPr>
        <w:tblStyle w:val="Mriekatabuky"/>
        <w:tblW w:w="11058" w:type="dxa"/>
        <w:tblInd w:w="-885" w:type="dxa"/>
        <w:tblLook w:val="04A0" w:firstRow="1" w:lastRow="0" w:firstColumn="1" w:lastColumn="0" w:noHBand="0" w:noVBand="1"/>
      </w:tblPr>
      <w:tblGrid>
        <w:gridCol w:w="7514"/>
        <w:gridCol w:w="3544"/>
      </w:tblGrid>
      <w:tr>
        <w:tc>
          <w:tcPr>
            <w:tcW w:w="7514" w:type="dxa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bookmarkStart w:id="0" w:name="_GoBack" w:colFirst="0" w:colLast="1"/>
            <w:r>
              <w:rPr>
                <w:rFonts w:ascii="Arial" w:hAnsi="Arial" w:cs="Arial"/>
                <w:b/>
                <w:sz w:val="32"/>
                <w:szCs w:val="32"/>
              </w:rPr>
              <w:t>Meno pozorovateľa:</w:t>
            </w:r>
          </w:p>
        </w:tc>
        <w:tc>
          <w:tcPr>
            <w:tcW w:w="3544" w:type="dxa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Dátum:</w:t>
            </w:r>
          </w:p>
        </w:tc>
      </w:tr>
      <w:bookmarkEnd w:id="0"/>
    </w:tbl>
    <w:p>
      <w:pPr>
        <w:jc w:val="center"/>
        <w:rPr>
          <w:rFonts w:ascii="Arial" w:hAnsi="Arial" w:cs="Arial"/>
          <w:sz w:val="18"/>
          <w:szCs w:val="18"/>
        </w:rPr>
      </w:pPr>
    </w:p>
    <w:tbl>
      <w:tblPr>
        <w:tblStyle w:val="Mriekatabuky"/>
        <w:tblW w:w="11058" w:type="dxa"/>
        <w:tblInd w:w="-885" w:type="dxa"/>
        <w:tblLook w:val="04A0" w:firstRow="1" w:lastRow="0" w:firstColumn="1" w:lastColumn="0" w:noHBand="0" w:noVBand="1"/>
      </w:tblPr>
      <w:tblGrid>
        <w:gridCol w:w="2269"/>
        <w:gridCol w:w="1631"/>
        <w:gridCol w:w="1229"/>
        <w:gridCol w:w="5929"/>
      </w:tblGrid>
      <w:tr>
        <w:tc>
          <w:tcPr>
            <w:tcW w:w="2269" w:type="dxa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meno hodnoteného </w:t>
            </w:r>
          </w:p>
        </w:tc>
        <w:tc>
          <w:tcPr>
            <w:tcW w:w="1631" w:type="dxa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kompe</w:t>
            </w:r>
          </w:p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tencie</w:t>
            </w:r>
            <w:proofErr w:type="spellEnd"/>
          </w:p>
        </w:tc>
        <w:tc>
          <w:tcPr>
            <w:tcW w:w="1229" w:type="dxa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hodno</w:t>
            </w:r>
          </w:p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tenie</w:t>
            </w:r>
          </w:p>
        </w:tc>
        <w:tc>
          <w:tcPr>
            <w:tcW w:w="5929" w:type="dxa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poznámky</w:t>
            </w:r>
          </w:p>
        </w:tc>
      </w:tr>
      <w:tr>
        <w:trPr>
          <w:trHeight w:val="360"/>
        </w:trPr>
        <w:tc>
          <w:tcPr>
            <w:tcW w:w="226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Sociálne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komunikačné</w:t>
            </w:r>
          </w:p>
        </w:tc>
        <w:tc>
          <w:tcPr>
            <w:tcW w:w="122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33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Flexibilita</w:t>
            </w: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324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Tímová spolupráca</w:t>
            </w:r>
          </w:p>
        </w:tc>
        <w:tc>
          <w:tcPr>
            <w:tcW w:w="122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36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Riešenie problémov</w:t>
            </w:r>
          </w:p>
        </w:tc>
        <w:tc>
          <w:tcPr>
            <w:tcW w:w="122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375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Vedenie ľudí</w:t>
            </w: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306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Zákaznícka orientácia</w:t>
            </w:r>
          </w:p>
        </w:tc>
        <w:tc>
          <w:tcPr>
            <w:tcW w:w="122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600"/>
        </w:trPr>
        <w:tc>
          <w:tcPr>
            <w:tcW w:w="226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Sociálne</w:t>
            </w:r>
          </w:p>
          <w:p>
            <w:r>
              <w:t>komunikačné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272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Flexibilita</w:t>
            </w:r>
          </w:p>
          <w:p/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13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Tímová spolupráca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25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Riešenie problémov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255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Vedenie ľudí</w:t>
            </w:r>
          </w:p>
          <w:p/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55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Zákaznícka orientácia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40"/>
        </w:trPr>
        <w:tc>
          <w:tcPr>
            <w:tcW w:w="226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Sociálne</w:t>
            </w:r>
          </w:p>
          <w:p>
            <w:r>
              <w:t>komunikačné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227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Flexibilita</w:t>
            </w:r>
          </w:p>
          <w:p/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4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Tímová spolupráca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25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Riešenie problémov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27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Vedenie ľudí</w:t>
            </w:r>
          </w:p>
          <w:p/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55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Zákaznícka orientácia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55"/>
        </w:trPr>
        <w:tc>
          <w:tcPr>
            <w:tcW w:w="226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Sociálne</w:t>
            </w:r>
          </w:p>
          <w:p>
            <w:r>
              <w:t>komunikačné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24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Flexibilita</w:t>
            </w:r>
          </w:p>
          <w:p/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60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Tímová spolupráca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4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Riešenie problémov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33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Vedenie ľudí</w:t>
            </w:r>
          </w:p>
          <w:p/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7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Zákaznícka orientácia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</w:tbl>
    <w:p/>
    <w:p/>
    <w:tbl>
      <w:tblPr>
        <w:tblStyle w:val="Mriekatabuky"/>
        <w:tblW w:w="11058" w:type="dxa"/>
        <w:tblInd w:w="-885" w:type="dxa"/>
        <w:tblLook w:val="04A0" w:firstRow="1" w:lastRow="0" w:firstColumn="1" w:lastColumn="0" w:noHBand="0" w:noVBand="1"/>
      </w:tblPr>
      <w:tblGrid>
        <w:gridCol w:w="2269"/>
        <w:gridCol w:w="1631"/>
        <w:gridCol w:w="1229"/>
        <w:gridCol w:w="5929"/>
      </w:tblGrid>
      <w:tr>
        <w:tc>
          <w:tcPr>
            <w:tcW w:w="2269" w:type="dxa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eno hodnoteného </w:t>
            </w:r>
          </w:p>
        </w:tc>
        <w:tc>
          <w:tcPr>
            <w:tcW w:w="1631" w:type="dxa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</w:t>
            </w:r>
            <w:r>
              <w:rPr>
                <w:rFonts w:ascii="Arial" w:hAnsi="Arial" w:cs="Arial"/>
                <w:b/>
                <w:sz w:val="32"/>
                <w:szCs w:val="32"/>
              </w:rPr>
              <w:t>ompe</w:t>
            </w:r>
          </w:p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tencie</w:t>
            </w:r>
            <w:proofErr w:type="spellEnd"/>
          </w:p>
        </w:tc>
        <w:tc>
          <w:tcPr>
            <w:tcW w:w="1229" w:type="dxa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</w:t>
            </w:r>
            <w:r>
              <w:rPr>
                <w:rFonts w:ascii="Arial" w:hAnsi="Arial" w:cs="Arial"/>
                <w:b/>
                <w:sz w:val="32"/>
                <w:szCs w:val="32"/>
              </w:rPr>
              <w:t>odno</w:t>
            </w:r>
          </w:p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tenie</w:t>
            </w:r>
          </w:p>
        </w:tc>
        <w:tc>
          <w:tcPr>
            <w:tcW w:w="5929" w:type="dxa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</w:t>
            </w:r>
            <w:r>
              <w:rPr>
                <w:rFonts w:ascii="Arial" w:hAnsi="Arial" w:cs="Arial"/>
                <w:b/>
                <w:sz w:val="32"/>
                <w:szCs w:val="32"/>
              </w:rPr>
              <w:t>oznámky</w:t>
            </w:r>
          </w:p>
        </w:tc>
      </w:tr>
      <w:tr>
        <w:trPr>
          <w:trHeight w:val="360"/>
        </w:trPr>
        <w:tc>
          <w:tcPr>
            <w:tcW w:w="226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Sociálne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komunikačné</w:t>
            </w:r>
          </w:p>
        </w:tc>
        <w:tc>
          <w:tcPr>
            <w:tcW w:w="122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33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Flexibilita</w:t>
            </w: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324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Tímová spolupráca</w:t>
            </w:r>
          </w:p>
        </w:tc>
        <w:tc>
          <w:tcPr>
            <w:tcW w:w="122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36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Riešenie problémov</w:t>
            </w:r>
          </w:p>
        </w:tc>
        <w:tc>
          <w:tcPr>
            <w:tcW w:w="122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375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Vedenie ľudí</w:t>
            </w: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306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Zákaznícka orientácia</w:t>
            </w:r>
          </w:p>
        </w:tc>
        <w:tc>
          <w:tcPr>
            <w:tcW w:w="122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600"/>
        </w:trPr>
        <w:tc>
          <w:tcPr>
            <w:tcW w:w="226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Sociálne</w:t>
            </w:r>
          </w:p>
          <w:p>
            <w:r>
              <w:t>komunikačné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272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Flexibilita</w:t>
            </w:r>
          </w:p>
          <w:p/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13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Tímová spolupráca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25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Riešenie problémov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255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Vedenie ľudí</w:t>
            </w:r>
          </w:p>
          <w:p/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55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Zákaznícka orientácia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40"/>
        </w:trPr>
        <w:tc>
          <w:tcPr>
            <w:tcW w:w="226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Sociálne</w:t>
            </w:r>
          </w:p>
          <w:p>
            <w:r>
              <w:t>komunikačné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227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Flexibilita</w:t>
            </w:r>
          </w:p>
          <w:p/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4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Tímová spolupráca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25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Riešenie problémov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27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Vedenie ľudí</w:t>
            </w:r>
          </w:p>
          <w:p/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55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Zákaznícka orientácia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55"/>
        </w:trPr>
        <w:tc>
          <w:tcPr>
            <w:tcW w:w="226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Sociálne</w:t>
            </w:r>
          </w:p>
          <w:p>
            <w:r>
              <w:t>komunikačné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 w:val="restart"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24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Flexibilita</w:t>
            </w:r>
          </w:p>
          <w:p/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60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Tímová spolupráca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4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Riešenie problémov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33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Vedenie ľudí</w:t>
            </w:r>
          </w:p>
          <w:p/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  <w:tr>
        <w:trPr>
          <w:trHeight w:val="570"/>
        </w:trPr>
        <w:tc>
          <w:tcPr>
            <w:tcW w:w="2269" w:type="dxa"/>
            <w:vMerge/>
          </w:tcPr>
          <w:p>
            <w:pPr>
              <w:rPr>
                <w:sz w:val="240"/>
                <w:szCs w:val="240"/>
              </w:rPr>
            </w:pPr>
          </w:p>
        </w:tc>
        <w:tc>
          <w:tcPr>
            <w:tcW w:w="1631" w:type="dxa"/>
          </w:tcPr>
          <w:p>
            <w:r>
              <w:t>Zákaznícka orientácia</w:t>
            </w:r>
          </w:p>
        </w:tc>
        <w:tc>
          <w:tcPr>
            <w:tcW w:w="1229" w:type="dxa"/>
          </w:tcPr>
          <w:p/>
        </w:tc>
        <w:tc>
          <w:tcPr>
            <w:tcW w:w="5929" w:type="dxa"/>
            <w:vMerge/>
          </w:tcPr>
          <w:p>
            <w:pPr>
              <w:rPr>
                <w:sz w:val="240"/>
                <w:szCs w:val="240"/>
              </w:rPr>
            </w:pPr>
          </w:p>
        </w:tc>
      </w:tr>
    </w:tbl>
    <w:p/>
    <w:p/>
    <w:p/>
    <w:sectPr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table" w:styleId="Mriekatabuky">
    <w:name w:val="Table Grid"/>
    <w:basedOn w:val="Normlnatabuka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table" w:styleId="Mriekatabuky">
    <w:name w:val="Table Grid"/>
    <w:basedOn w:val="Normlnatabuka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UPSVR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Pocklan Marian</dc:creator>
  <cp:keywords/>
  <dc:description/>
  <cp:lastModifiedBy>Pocklan Marian</cp:lastModifiedBy>
  <cp:revision>3</cp:revision>
  <cp:lastPrinted>2016-05-26T07:48:00Z</cp:lastPrinted>
  <dcterms:created xsi:type="dcterms:W3CDTF">2016-05-26T06:47:00Z</dcterms:created>
  <dcterms:modified xsi:type="dcterms:W3CDTF">2016-05-26T07:49:00Z</dcterms:modified>
</cp:coreProperties>
</file>