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Vlasta </w:t>
            </w:r>
            <w:proofErr w:type="spellStart"/>
            <w:r>
              <w:rPr>
                <w:sz w:val="24"/>
                <w:szCs w:val="24"/>
              </w:rPr>
              <w:t>Gožová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474980</wp:posOffset>
                </wp:positionV>
                <wp:extent cx="6169025" cy="223837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r>
                              <w:t>Pri vstupe do bilancie kompetencií  ste bola 1</w:t>
                            </w:r>
                            <w:r>
                              <w:t>4</w:t>
                            </w:r>
                            <w:r>
                              <w:t xml:space="preserve"> mesiacov v evidencií,  </w:t>
                            </w:r>
                            <w:r>
                              <w:t xml:space="preserve">je to vaša opakovaná (siedma) evidencia, máte prevažne skúsenosť s dlhodobou nezamestnanosťou, </w:t>
                            </w:r>
                            <w:r>
                              <w:t xml:space="preserve">  v minulosti   ste bola evidovaná  nepretržite počas  </w:t>
                            </w:r>
                            <w:r>
                              <w:t>8</w:t>
                            </w:r>
                            <w:r>
                              <w:t xml:space="preserve"> rokov.</w:t>
                            </w:r>
                            <w:r>
                              <w:t xml:space="preserve"> Niekoľko mesiacov ste bola dobrovoľne </w:t>
                            </w:r>
                            <w:proofErr w:type="spellStart"/>
                            <w:r>
                              <w:t>nezamestnaná.</w:t>
                            </w:r>
                            <w:r>
                              <w:t>Máte</w:t>
                            </w:r>
                            <w:proofErr w:type="spellEnd"/>
                            <w:r>
                              <w:t xml:space="preserve"> základné vzdelanie</w:t>
                            </w:r>
                            <w:r>
                              <w:t>. Pracovala ste krátkodobo ako pracovníčka na čistenie verejných priestranstiev</w:t>
                            </w:r>
                            <w:r>
                              <w:t xml:space="preserve">.   </w:t>
                            </w:r>
                          </w:p>
                          <w:p>
                            <w:r>
                              <w:t xml:space="preserve">Na základe zistených informácií by ste si chcela pomenovať cieľové povolania, </w:t>
                            </w:r>
                            <w:r>
                              <w:t>pomenovať svoje silné stránky a kompetencie.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t>Vyjadrila ste, že očakávate pomoc  s písomným a osobným uchádzaním sa o</w:t>
                            </w:r>
                            <w:r>
                              <w:t> </w:t>
                            </w:r>
                            <w:r>
                              <w:t>zamestnanie</w:t>
                            </w:r>
                            <w:r>
                              <w:t>, vyhľadávaním voľných pracovných miest.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9pt;margin-top:37.4pt;width:485.7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">
                <v:textbox>
                  <w:txbxContent>
                    <w:p>
                      <w:r>
                        <w:t xml:space="preserve"> </w:t>
                      </w:r>
                      <w:r>
                        <w:t>Pri vstupe do bilancie kompetencií  ste bola 1</w:t>
                      </w:r>
                      <w:r>
                        <w:t>4</w:t>
                      </w:r>
                      <w:r>
                        <w:t xml:space="preserve"> mesiacov v evidencií,  </w:t>
                      </w:r>
                      <w:r>
                        <w:t xml:space="preserve">je to vaša opakovaná (siedma) evidencia, máte prevažne skúsenosť s dlhodobou nezamestnanosťou, </w:t>
                      </w:r>
                      <w:r>
                        <w:t xml:space="preserve">  v minulosti   ste bola evidovaná  nepretržite počas  </w:t>
                      </w:r>
                      <w:r>
                        <w:t>8</w:t>
                      </w:r>
                      <w:r>
                        <w:t xml:space="preserve"> rokov.</w:t>
                      </w:r>
                      <w:r>
                        <w:t xml:space="preserve"> Niekoľko mesiacov ste bola dobrovoľne </w:t>
                      </w:r>
                      <w:proofErr w:type="spellStart"/>
                      <w:r>
                        <w:t>nezamestnaná.</w:t>
                      </w:r>
                      <w:r>
                        <w:t>Máte</w:t>
                      </w:r>
                      <w:proofErr w:type="spellEnd"/>
                      <w:r>
                        <w:t xml:space="preserve"> základné vzdelanie</w:t>
                      </w:r>
                      <w:r>
                        <w:t>. Pracovala ste krátkodobo ako pracovníčka na čistenie verejných priestranstiev</w:t>
                      </w:r>
                      <w:r>
                        <w:t xml:space="preserve">.   </w:t>
                      </w:r>
                    </w:p>
                    <w:p>
                      <w:r>
                        <w:t xml:space="preserve">Na základe zistených informácií by ste si chcela pomenovať cieľové povolania, </w:t>
                      </w:r>
                      <w:r>
                        <w:t>pomenovať svoje silné stránky a kompetencie.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t>Vyjadrila ste, že očakávate pomoc  s písomným a osobným uchádzaním sa o</w:t>
                      </w:r>
                      <w:r>
                        <w:t> </w:t>
                      </w:r>
                      <w:r>
                        <w:t>zamestnanie</w:t>
                      </w:r>
                      <w:r>
                        <w:t>, vyhľadávaním voľných pracovných miest.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spacing w:after="120"/>
        <w:jc w:val="both"/>
        <w:rPr>
          <w:b/>
          <w:i/>
          <w:sz w:val="20"/>
          <w:szCs w:val="20"/>
        </w:rPr>
      </w:pPr>
      <w:r>
        <w:rPr>
          <w:bCs/>
          <w:sz w:val="20"/>
          <w:szCs w:val="20"/>
        </w:rPr>
        <w:t>V kompetenčnom portfóliu medzi svoje hlavné kompetencie zaradzujete manuálnu zručnosť:  pravidelné,</w:t>
      </w:r>
      <w:r>
        <w:rPr>
          <w:bCs/>
          <w:sz w:val="20"/>
          <w:szCs w:val="20"/>
        </w:rPr>
        <w:t xml:space="preserve"> opakujúce sa činnosti: zametanie, zbieranie, hrabanie, čistenie, upratovanie, ukladanie, okopávanie, udržiavanie poriadku.</w:t>
      </w:r>
      <w:r>
        <w:rPr>
          <w:bCs/>
          <w:sz w:val="20"/>
          <w:szCs w:val="20"/>
        </w:rPr>
        <w:t xml:space="preserve"> Ďalej ste uviedla, že k Vašim silným stránkam patrí prispôsobivosť, </w:t>
      </w:r>
      <w:r>
        <w:rPr>
          <w:bCs/>
          <w:sz w:val="20"/>
          <w:szCs w:val="20"/>
        </w:rPr>
        <w:t>skromnosť, trpezlivosť, ochota pomáhať, starostlivosť.</w:t>
      </w:r>
      <w:r>
        <w:rPr>
          <w:bCs/>
          <w:sz w:val="20"/>
          <w:szCs w:val="20"/>
        </w:rPr>
        <w:t xml:space="preserve"> Chcel</w:t>
      </w:r>
      <w:r>
        <w:rPr>
          <w:bCs/>
          <w:sz w:val="20"/>
          <w:szCs w:val="20"/>
        </w:rPr>
        <w:t xml:space="preserve">a by ste pracovať v kolektíve, pretože </w:t>
      </w:r>
      <w:r>
        <w:rPr>
          <w:bCs/>
          <w:sz w:val="20"/>
          <w:szCs w:val="20"/>
        </w:rPr>
        <w:t>nevytvárate problémové situácie</w:t>
      </w:r>
      <w:r>
        <w:rPr>
          <w:bCs/>
          <w:sz w:val="20"/>
          <w:szCs w:val="20"/>
        </w:rPr>
        <w:t xml:space="preserve"> ale plne sa prispôsobíte</w:t>
      </w:r>
      <w:r>
        <w:rPr>
          <w:bCs/>
          <w:sz w:val="20"/>
          <w:szCs w:val="20"/>
        </w:rPr>
        <w:t>. Mala by to byť práce pod dobrým vedením,</w:t>
      </w:r>
      <w:r>
        <w:rPr>
          <w:bCs/>
          <w:sz w:val="20"/>
          <w:szCs w:val="20"/>
        </w:rPr>
        <w:t xml:space="preserve"> ktoré by zadávalo jasné pokyny.  Pracovné činnosti by sa mali opakovať, nemali by sa často meniť. Pracovná mobilita do vzdialenosti 20 km.</w:t>
      </w:r>
      <w:r>
        <w:rPr>
          <w:bCs/>
          <w:sz w:val="20"/>
          <w:szCs w:val="20"/>
        </w:rPr>
        <w:t xml:space="preserve"> Po zvážení a vyhodnotení svojich kompetencií ste si za 1. cielené zamestnanie stanovila: </w:t>
      </w:r>
      <w:r>
        <w:rPr>
          <w:b/>
          <w:i/>
          <w:sz w:val="20"/>
          <w:szCs w:val="20"/>
        </w:rPr>
        <w:t>pracovník na čistenie verejných priestranstiev</w:t>
      </w:r>
      <w:r>
        <w:rPr>
          <w:sz w:val="20"/>
          <w:szCs w:val="20"/>
        </w:rPr>
        <w:t xml:space="preserve"> alternatívou k tomuto zamestnaniu je: </w:t>
      </w:r>
      <w:r>
        <w:rPr>
          <w:b/>
          <w:i/>
          <w:sz w:val="20"/>
          <w:szCs w:val="20"/>
        </w:rPr>
        <w:t>pomocný pracovník v</w:t>
      </w:r>
      <w:r>
        <w:rPr>
          <w:b/>
          <w:i/>
          <w:sz w:val="20"/>
          <w:szCs w:val="20"/>
        </w:rPr>
        <w:t> </w:t>
      </w:r>
      <w:r>
        <w:rPr>
          <w:b/>
          <w:i/>
          <w:sz w:val="20"/>
          <w:szCs w:val="20"/>
        </w:rPr>
        <w:t>poľnohospodárstve</w:t>
      </w:r>
      <w:r>
        <w:rPr>
          <w:b/>
          <w:i/>
          <w:sz w:val="20"/>
          <w:szCs w:val="20"/>
        </w:rPr>
        <w:t>.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pracovník na čistenie verejných priestranstiev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Pomocný </w:t>
            </w:r>
            <w:r>
              <w:rPr>
                <w:sz w:val="20"/>
                <w:szCs w:val="20"/>
              </w:rPr>
              <w:t>pracovník v poľnohospodárstve</w:t>
            </w:r>
          </w:p>
          <w:p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manuáln</w:t>
            </w:r>
            <w:r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 xml:space="preserve"> zručnosť:  zametanie, zbieranie, hrabanie, čistenie, upratovanie, ukladanie, okopávanie, udržiavanie poriadku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manuálna zručnosť:  zametanie, zbieranie, hrabanie, čistenie, upratovanie, ukladanie, okopávanie, udržiavanie poriadku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prispôsobivosť, skromnosť, trpezlivosť, ochota pomáhať, starostlivosť</w:t>
            </w:r>
            <w:r>
              <w:rPr>
                <w:bCs/>
                <w:sz w:val="20"/>
                <w:szCs w:val="20"/>
              </w:rPr>
              <w:t>, schopnosť nenarúšať fungovanie kolektívu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prispôsobivosť, skromnosť, trpezlivosť, ochota pomáhať, starostlivosť, schopnosť nenarúšať fungovanie kolektívu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prax, pracovné návyky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prax, pracovné návyky</w:t>
            </w:r>
          </w:p>
          <w:p>
            <w:pPr>
              <w:spacing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Dolniť</w:t>
            </w:r>
            <w:proofErr w:type="spellEnd"/>
            <w:r>
              <w:rPr>
                <w:sz w:val="20"/>
                <w:szCs w:val="20"/>
              </w:rPr>
              <w:t xml:space="preserve"> kurz: Základy pôdohospodárstva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Kojšov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Jaklovce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mesta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obecné úrady v okrese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Poľnohospodárske družstvo Jaklovce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Poľnohospodárske družstvo Helcmanovce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Agrofarma</w:t>
            </w:r>
            <w:proofErr w:type="spellEnd"/>
            <w:r>
              <w:rPr>
                <w:sz w:val="20"/>
                <w:szCs w:val="20"/>
              </w:rPr>
              <w:t xml:space="preserve"> s.r.o., Nálepkovo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Poľnohospodárske družstvo v Kluknave</w:t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 2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 k 26.8.2019  nie je zverejnené VPM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 - 2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Žakarovce – zberač odpadu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Jaklovce – zberač odpadu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 Odorín–pracovník na úseku chovu dojníc</w:t>
            </w:r>
          </w:p>
          <w:p>
            <w:pPr>
              <w:spacing w:after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Agrovýkrm</w:t>
            </w:r>
            <w:proofErr w:type="spellEnd"/>
            <w:r>
              <w:rPr>
                <w:sz w:val="20"/>
                <w:szCs w:val="20"/>
              </w:rPr>
              <w:t xml:space="preserve"> Spiš, </w:t>
            </w:r>
            <w:proofErr w:type="spellStart"/>
            <w:r>
              <w:rPr>
                <w:sz w:val="20"/>
                <w:szCs w:val="20"/>
              </w:rPr>
              <w:t>s.r.o.,Spišské</w:t>
            </w:r>
            <w:proofErr w:type="spellEnd"/>
            <w:r>
              <w:rPr>
                <w:sz w:val="20"/>
                <w:szCs w:val="20"/>
              </w:rPr>
              <w:t xml:space="preserve"> Vlachy- pracovník pre chov ošípaných</w:t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životopisu , žiadosti o prijatie do zamestnania, motivačného listu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Vypracovať si dokumenty potrebné k úspešnému uchádzaniu sa o 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Pracovník v poľnohospodárstve -   potrebné vedieť manipulovať s bremenami, je to práca prevažne vonku alebo v polouzavretých priestoroch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vypracovala si s podporou poradcu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Zmapovanie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 podľa cieľových zamestnaní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Získať prehľad o počte zamestnávateľov, ktorých je možné kontaktovať </w:t>
            </w: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 prehľad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získala prehľad  o počte zamestnávateľov  v oblasti v ktorej má záujem pracovať, 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Zapísala si získané údaje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Získala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prezentačné zručnosti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Na modelovej situácii si overila na vyhľadanú prac. ponuku svoje zručnosti efektívneho</w:t>
            </w:r>
            <w:r>
              <w:rPr>
                <w:sz w:val="20"/>
                <w:szCs w:val="20"/>
              </w:rPr>
              <w:t xml:space="preserve"> pracovného   pohovoru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</w:rPr>
              <w:t>Osobné uchádzanie sa o zamestnanie :  Obecný úrad Jaklovce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Prezentovať sa u zamestnávateľa, doručiť žiadosť +CV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 sa na    </w:t>
            </w:r>
            <w:proofErr w:type="spellStart"/>
            <w:r>
              <w:rPr>
                <w:sz w:val="20"/>
                <w:szCs w:val="20"/>
              </w:rPr>
              <w:t>ÚPSVaR</w:t>
            </w:r>
            <w:proofErr w:type="spellEnd"/>
            <w:r>
              <w:rPr>
                <w:sz w:val="20"/>
                <w:szCs w:val="20"/>
              </w:rPr>
              <w:t xml:space="preserve"> o príspevkoch na dochádzku do zamestnania  na podporu pracovnej mobility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doručiť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zamestnávateľom žiadosti o prijatie do zamestnania</w:t>
            </w:r>
          </w:p>
          <w:p>
            <w:pPr>
              <w:spacing w:after="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podpore pracovnej mobility –  rozšíriť si možnosť  pracovnej mobility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nadobudnúť skúsenosti so </w:t>
            </w:r>
            <w:proofErr w:type="spellStart"/>
            <w:r>
              <w:rPr>
                <w:sz w:val="20"/>
                <w:szCs w:val="20"/>
              </w:rPr>
              <w:t>sebaprezentáciou</w:t>
            </w:r>
            <w:proofErr w:type="spellEnd"/>
            <w:r>
              <w:rPr>
                <w:sz w:val="20"/>
                <w:szCs w:val="20"/>
              </w:rPr>
              <w:t xml:space="preserve"> u</w:t>
            </w: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zamestnávateľa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pracovné ponuky, získať návyk sledovať VPM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Informovať sa na </w:t>
            </w:r>
            <w:proofErr w:type="spellStart"/>
            <w:r>
              <w:rPr>
                <w:sz w:val="20"/>
                <w:szCs w:val="20"/>
              </w:rPr>
              <w:t>ÚPSVaR</w:t>
            </w:r>
            <w:proofErr w:type="spellEnd"/>
            <w:r>
              <w:rPr>
                <w:sz w:val="20"/>
                <w:szCs w:val="20"/>
              </w:rPr>
              <w:t xml:space="preserve"> o možnosti vykonávať aktivačnú činnosť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</w:t>
            </w:r>
            <w:r>
              <w:rPr>
                <w:sz w:val="20"/>
                <w:szCs w:val="20"/>
              </w:rPr>
              <w:t xml:space="preserve"> ponuky kurzov – </w:t>
            </w:r>
            <w:r>
              <w:rPr>
                <w:sz w:val="20"/>
                <w:szCs w:val="20"/>
              </w:rPr>
              <w:t>Základy pôdohospodárstva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4</w:t>
            </w:r>
            <w:r>
              <w:rPr>
                <w:sz w:val="20"/>
                <w:szCs w:val="20"/>
              </w:rPr>
              <w:t xml:space="preserve"> zamestnávateľom žiadosti o prijatie do zamestnania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Prostredníctvom aktivačných prác  resp. obdobných opatrení získať prax, pracovné návyky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požiadavku na RK prostredníctvom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VPM, získať návyk sledovať VPM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zamestnanie, nadobudnúť skúsenosti so </w:t>
            </w:r>
            <w:proofErr w:type="spellStart"/>
            <w:r>
              <w:rPr>
                <w:sz w:val="20"/>
                <w:szCs w:val="20"/>
              </w:rPr>
              <w:t>sebaprezentáciou</w:t>
            </w:r>
            <w:proofErr w:type="spellEnd"/>
            <w:r>
              <w:rPr>
                <w:sz w:val="20"/>
                <w:szCs w:val="20"/>
              </w:rPr>
              <w:t xml:space="preserve"> u </w:t>
            </w:r>
            <w:r>
              <w:rPr>
                <w:sz w:val="20"/>
                <w:szCs w:val="20"/>
              </w:rPr>
              <w:t>zamestnávateľa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418465</wp:posOffset>
                </wp:positionV>
                <wp:extent cx="6949440" cy="1194435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Odporúčam zamerať sa na aktívnejší prístup k riešeniu svojej situácie, dodržať naplánované kroky v akčnom pláne. Neustále sledovať  pracovné ponuky. Uchádzať sa o zamestnanie aj na skrytom trhu práce, osloviť  všetkých zamestnávateľov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ktorých ste si počas BK zmapovala.   Využiť všetky možnosti získať pracovné návyky resp. prax,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aktivačnú činnosť, práce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na skrátený pracovný čas</w:t>
                            </w:r>
                            <w:r>
                              <w:rPr>
                                <w:i/>
                              </w:rPr>
                              <w:t>, sezónne práce.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Vzhľadom na nízky stupeň vzdelania odporúčam  absolvovať  vzdelávanie formou rekvalifikačného kurzu.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95pt;width:547.2pt;height:94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Odporúčam zamerať sa na aktívnejší prístup k riešeniu svojej situácie, dodržať naplánované kroky v akčnom pláne. Neustále sledovať  pracovné ponuky. Uchádzať sa o zamestnanie aj na skrytom trhu práce, osloviť  všetkých zamestnávateľov</w:t>
                      </w:r>
                      <w:r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ktorých ste si počas BK zmapovala.   Využiť všetky možnosti získať pracovné návyky resp. prax,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aktivačnú činnosť, práce na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>, na skrátený pracovný čas</w:t>
                      </w:r>
                      <w:r>
                        <w:rPr>
                          <w:i/>
                        </w:rPr>
                        <w:t>, sezónne práce.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Vzhľadom na nízky stupeň vzdelania odporúčam  absolvovať  vzdelávanie formou rekvalifikačného kurzu.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/>
            </w:rPr>
            <w:t>X</w:t>
          </w:r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94744776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nie</w:t>
      </w:r>
      <w:bookmarkStart w:id="6" w:name="_GoBack"/>
      <w:bookmarkEnd w:id="6"/>
    </w:p>
    <w:p>
      <w:r>
        <w:rPr>
          <w:sz w:val="24"/>
          <w:szCs w:val="24"/>
        </w:rPr>
        <w:t>Odporúčané vzdelávanie:</w:t>
      </w:r>
      <w:r>
        <w:t xml:space="preserve"> Základy pôdohospodárstva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  <w:style w:type="character" w:styleId="Siln">
    <w:name w:val="Strong"/>
    <w:basedOn w:val="Predvolenpsmoodseku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2019-07-23T09:36:00Z</cp:lastPrinted>
  <dcterms:created xsi:type="dcterms:W3CDTF">2019-09-04T10:12:00Z</dcterms:created>
  <dcterms:modified xsi:type="dcterms:W3CDTF">2019-09-04T10:12:00Z</dcterms:modified>
</cp:coreProperties>
</file>