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0D4C966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Bc. Kristína Chovancová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</w:t>
            </w:r>
          </w:p>
        </w:tc>
        <w:tc>
          <w:tcPr>
            <w:tcW w:w="1559" w:type="dxa"/>
            <w:shd w:val="clear" w:color="auto" w:fill="auto"/>
          </w:tcPr>
          <w:p w14:paraId="00DBEC9C" w14:textId="71B01C1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Ročník</w:t>
            </w:r>
            <w:r w:rsidRPr="007E4116">
              <w:rPr>
                <w:rFonts w:ascii="Calibri" w:hAnsi="Calibri"/>
                <w:sz w:val="20"/>
                <w:szCs w:val="20"/>
              </w:rPr>
              <w:t xml:space="preserve">:   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8D6645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</w:t>
            </w:r>
            <w:proofErr w:type="spellStart"/>
            <w:r w:rsidR="007E4116" w:rsidRPr="007E4116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7E4116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25B8945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52A7849A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9FDF9C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7E4116" w:rsidRPr="007E4116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0BB71EA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II.O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57448C2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19.9.2022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66FD813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7E41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7E4116" w:rsidRPr="007E4116">
              <w:rPr>
                <w:rFonts w:ascii="Calibri" w:hAnsi="Calibri"/>
                <w:sz w:val="20"/>
                <w:szCs w:val="20"/>
              </w:rPr>
              <w:t>Fyzikálne a chemické deje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7BC12EEF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5AF6B94D" w14:textId="77777777" w:rsidR="009B14A4" w:rsidRPr="009B14A4" w:rsidRDefault="009B14A4" w:rsidP="009B14A4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B14A4">
              <w:rPr>
                <w:rFonts w:ascii="Calibri" w:hAnsi="Calibri"/>
                <w:sz w:val="20"/>
                <w:szCs w:val="20"/>
              </w:rPr>
              <w:t>Žiak vie zadefinovať pojem teleso a látka.</w:t>
            </w:r>
          </w:p>
          <w:p w14:paraId="3D328574" w14:textId="2A2FC822" w:rsidR="007E4116" w:rsidRPr="009B14A4" w:rsidRDefault="007E4116" w:rsidP="007E411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B14A4">
              <w:rPr>
                <w:rFonts w:ascii="Calibri" w:hAnsi="Calibri"/>
                <w:sz w:val="20"/>
                <w:szCs w:val="20"/>
              </w:rPr>
              <w:t>Žiak dokáže určiť rozdiel medzi fyzikálnymi a chemickými dejmi</w:t>
            </w:r>
          </w:p>
          <w:p w14:paraId="061D8AE9" w14:textId="4EC0BF10" w:rsidR="007E4116" w:rsidRPr="009B14A4" w:rsidRDefault="007E4116" w:rsidP="007E411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B14A4">
              <w:rPr>
                <w:rFonts w:ascii="Calibri" w:hAnsi="Calibri"/>
                <w:sz w:val="20"/>
                <w:szCs w:val="20"/>
              </w:rPr>
              <w:t>Žiak vie k jednotlivým dejom správne priradiť príklady.</w:t>
            </w:r>
          </w:p>
          <w:p w14:paraId="672A6659" w14:textId="77777777" w:rsidR="0054074A" w:rsidRPr="008F02CE" w:rsidRDefault="0054074A" w:rsidP="009B14A4">
            <w:pPr>
              <w:pStyle w:val="Odsekzoznamu"/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lastRenderedPageBreak/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6B56F2A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03C8E18C" w:rsidR="00D71EE0" w:rsidRPr="00D71EE0" w:rsidRDefault="00D71EE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D71EE0">
              <w:rPr>
                <w:bCs/>
                <w:sz w:val="22"/>
                <w:szCs w:val="22"/>
              </w:rPr>
              <w:t xml:space="preserve">V úvodnej časti hodiny sa žiakom predstavím, keďže je to moja prvá hodina s nimi. Skontrolujem si dochádzku, ktorú zaznačím do aplikácie </w:t>
            </w:r>
            <w:proofErr w:type="spellStart"/>
            <w:r w:rsidRPr="00D71EE0">
              <w:rPr>
                <w:bCs/>
                <w:sz w:val="22"/>
                <w:szCs w:val="22"/>
              </w:rPr>
              <w:t>EduPage</w:t>
            </w:r>
            <w:proofErr w:type="spellEnd"/>
            <w:r w:rsidRPr="00D71EE0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1B86D959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15685A3D" w:rsidR="00D71EE0" w:rsidRPr="00D71EE0" w:rsidRDefault="00D71EE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D71EE0">
              <w:rPr>
                <w:bCs/>
                <w:sz w:val="22"/>
                <w:szCs w:val="22"/>
              </w:rPr>
              <w:t>Žiakov oboznámim s tým, čo ich dnes čaká a čo bude témou našej hodiny.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5DAA29D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2194696A" w:rsidR="00D71EE0" w:rsidRPr="00D71EE0" w:rsidRDefault="00D71EE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Žiakov sa opýtam kontrolné otázky na predchádzajúce učivo, ktorým bol laboratórny poriadok, či si ho pamätajú a či nezabudli na dôležité pravidlá, ktoré treba dodržiavať v laboratóriu, keďže laboratórium navštívime v blízkej dobe.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2C017392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7E71927D" w:rsidR="00D71EE0" w:rsidRPr="00601439" w:rsidRDefault="00D71EE0" w:rsidP="00601439">
            <w:pPr>
              <w:spacing w:before="0"/>
              <w:ind w:firstLine="0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Pomocou interaktívnej tabule žiakom spustím prezentáciu pričom si budú sami písať dôležité poznámky a príklady.</w:t>
            </w:r>
            <w:r w:rsidR="00136407"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3AFDF75D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65D3EB9F" w:rsidR="00136407" w:rsidRPr="00136407" w:rsidRDefault="00136407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136407">
              <w:rPr>
                <w:bCs/>
                <w:sz w:val="22"/>
                <w:szCs w:val="22"/>
              </w:rPr>
              <w:t>Na lepšie zapamätanie učiva využijeme možnosť interaktívnej tabule, kde budeme mať príklady z bežného života a žiaci budú musieť správne pričleniť či ide o fyzikálny alebo chemický dej. Tieto príklady si žiaci zapíšu do vytvorenej tabuľky v zošite. Keď sa budú učiť zo svojich poznámok budú to mať prehľadne spracované.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26C7D8F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7F660DDA" w:rsidR="00136407" w:rsidRPr="00136407" w:rsidRDefault="00136407" w:rsidP="00601439">
            <w:pPr>
              <w:spacing w:before="0"/>
              <w:ind w:firstLine="0"/>
              <w:rPr>
                <w:sz w:val="22"/>
                <w:szCs w:val="22"/>
              </w:rPr>
            </w:pPr>
            <w:r w:rsidRPr="00136407">
              <w:rPr>
                <w:rFonts w:cstheme="minorHAnsi"/>
                <w:color w:val="000000" w:themeColor="text1"/>
                <w:sz w:val="22"/>
                <w:szCs w:val="22"/>
                <w:lang w:bidi="en-US"/>
              </w:rPr>
              <w:t xml:space="preserve">Za domácu úlohu dostanú žiaci porozmýšľať nad nejakými </w:t>
            </w:r>
            <w:r>
              <w:rPr>
                <w:rFonts w:cstheme="minorHAnsi"/>
                <w:color w:val="000000" w:themeColor="text1"/>
                <w:sz w:val="22"/>
                <w:szCs w:val="22"/>
                <w:lang w:bidi="en-US"/>
              </w:rPr>
              <w:t>činnosťam</w:t>
            </w:r>
            <w:r w:rsidRPr="00136407">
              <w:rPr>
                <w:rFonts w:cstheme="minorHAnsi"/>
                <w:color w:val="000000" w:themeColor="text1"/>
                <w:sz w:val="22"/>
                <w:szCs w:val="22"/>
                <w:lang w:bidi="en-US"/>
              </w:rPr>
              <w:t xml:space="preserve">i, ktoré by sme mohli použiť ako príklady k fyzikálnym a chemickým dejom. 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530AF798" w14:textId="5897FDB2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13640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7D6F2B15" w:rsidR="00136407" w:rsidRPr="00136407" w:rsidRDefault="00136407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3640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Žiakom poďakujem a poprajme im pekný deň.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9431D"/>
    <w:multiLevelType w:val="hybridMultilevel"/>
    <w:tmpl w:val="265E4FB6"/>
    <w:lvl w:ilvl="0" w:tplc="4B265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60085">
    <w:abstractNumId w:val="4"/>
  </w:num>
  <w:num w:numId="2" w16cid:durableId="578363758">
    <w:abstractNumId w:val="10"/>
  </w:num>
  <w:num w:numId="3" w16cid:durableId="35858457">
    <w:abstractNumId w:val="1"/>
  </w:num>
  <w:num w:numId="4" w16cid:durableId="343409977">
    <w:abstractNumId w:val="8"/>
  </w:num>
  <w:num w:numId="5" w16cid:durableId="937980109">
    <w:abstractNumId w:val="15"/>
  </w:num>
  <w:num w:numId="6" w16cid:durableId="1835218174">
    <w:abstractNumId w:val="6"/>
  </w:num>
  <w:num w:numId="7" w16cid:durableId="1191918167">
    <w:abstractNumId w:val="0"/>
  </w:num>
  <w:num w:numId="8" w16cid:durableId="1564101186">
    <w:abstractNumId w:val="5"/>
  </w:num>
  <w:num w:numId="9" w16cid:durableId="271133927">
    <w:abstractNumId w:val="24"/>
  </w:num>
  <w:num w:numId="10" w16cid:durableId="259947939">
    <w:abstractNumId w:val="3"/>
  </w:num>
  <w:num w:numId="11" w16cid:durableId="1271086368">
    <w:abstractNumId w:val="17"/>
  </w:num>
  <w:num w:numId="12" w16cid:durableId="759638567">
    <w:abstractNumId w:val="21"/>
  </w:num>
  <w:num w:numId="13" w16cid:durableId="96757050">
    <w:abstractNumId w:val="18"/>
  </w:num>
  <w:num w:numId="14" w16cid:durableId="793600992">
    <w:abstractNumId w:val="16"/>
  </w:num>
  <w:num w:numId="15" w16cid:durableId="566914080">
    <w:abstractNumId w:val="11"/>
  </w:num>
  <w:num w:numId="16" w16cid:durableId="1710646998">
    <w:abstractNumId w:val="14"/>
  </w:num>
  <w:num w:numId="17" w16cid:durableId="1833830945">
    <w:abstractNumId w:val="23"/>
  </w:num>
  <w:num w:numId="18" w16cid:durableId="244847594">
    <w:abstractNumId w:val="22"/>
  </w:num>
  <w:num w:numId="19" w16cid:durableId="164248916">
    <w:abstractNumId w:val="9"/>
  </w:num>
  <w:num w:numId="20" w16cid:durableId="909460345">
    <w:abstractNumId w:val="2"/>
  </w:num>
  <w:num w:numId="21" w16cid:durableId="628126089">
    <w:abstractNumId w:val="13"/>
  </w:num>
  <w:num w:numId="22" w16cid:durableId="1327827642">
    <w:abstractNumId w:val="20"/>
  </w:num>
  <w:num w:numId="23" w16cid:durableId="1005590243">
    <w:abstractNumId w:val="19"/>
  </w:num>
  <w:num w:numId="24" w16cid:durableId="17047390">
    <w:abstractNumId w:val="12"/>
  </w:num>
  <w:num w:numId="25" w16cid:durableId="827598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36407"/>
    <w:rsid w:val="0016688F"/>
    <w:rsid w:val="001A4368"/>
    <w:rsid w:val="001C6729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E4116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B14A4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71EE0"/>
    <w:rsid w:val="00D96A11"/>
    <w:rsid w:val="00D97D61"/>
    <w:rsid w:val="00DA6379"/>
    <w:rsid w:val="00DF1061"/>
    <w:rsid w:val="00E852E1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14</cp:revision>
  <cp:lastPrinted>2015-02-09T08:21:00Z</cp:lastPrinted>
  <dcterms:created xsi:type="dcterms:W3CDTF">2022-02-06T16:03:00Z</dcterms:created>
  <dcterms:modified xsi:type="dcterms:W3CDTF">2022-09-18T10:11:00Z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