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3" w:rsidRDefault="00AF005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E43" w:rsidRDefault="008D4E43">
      <w:pPr>
        <w:rPr>
          <w:sz w:val="20"/>
        </w:rPr>
      </w:pPr>
    </w:p>
    <w:p w:rsidR="008D4E43" w:rsidRDefault="00B37B9F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0" t="0" r="0" b="0"/>
                <wp:wrapTight wrapText="bothSides">
                  <wp:wrapPolygon edited="0">
                    <wp:start x="183" y="0"/>
                    <wp:lineTo x="183" y="20597"/>
                    <wp:lineTo x="21337" y="20597"/>
                    <wp:lineTo x="21337" y="0"/>
                    <wp:lineTo x="183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E43" w:rsidRDefault="00AF005B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 w:rsidR="008D4E43" w:rsidRDefault="00AF005B"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F005B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8D4E43">
        <w:trPr>
          <w:trHeight w:val="268"/>
        </w:trPr>
        <w:tc>
          <w:tcPr>
            <w:tcW w:w="2045" w:type="dxa"/>
            <w:shd w:val="clear" w:color="auto" w:fill="C2D69B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8D4E43" w:rsidRDefault="008D4E43">
            <w:pPr>
              <w:spacing w:after="0"/>
            </w:pPr>
          </w:p>
        </w:tc>
      </w:tr>
    </w:tbl>
    <w:p w:rsidR="008D4E43" w:rsidRDefault="008D4E43">
      <w:pPr>
        <w:pStyle w:val="Nadpis1"/>
        <w:spacing w:after="240"/>
        <w:rPr>
          <w:rFonts w:ascii="Calibri" w:hAnsi="Calibri"/>
          <w:sz w:val="32"/>
        </w:rPr>
      </w:pPr>
    </w:p>
    <w:p w:rsidR="008D4E43" w:rsidRDefault="00AF005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>
              <w:rPr>
                <w:b/>
                <w:sz w:val="20"/>
              </w:rPr>
              <w:t>Ivana Horváthová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Pr="007A0A66">
              <w:rPr>
                <w:b/>
              </w:rPr>
              <w:t>Lenka Čechová, Mgr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ab/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8D4E43" w:rsidRDefault="00AF005B">
      <w:pPr>
        <w:spacing w:after="0"/>
        <w:rPr>
          <w:sz w:val="20"/>
        </w:rPr>
      </w:pPr>
      <w:r>
        <w:rPr>
          <w:sz w:val="20"/>
        </w:rPr>
        <w:t>Dátum vyhotovenia záverečnej správy: 4.3.2019</w:t>
      </w:r>
    </w:p>
    <w:p w:rsidR="008D4E43" w:rsidRDefault="008D4E43">
      <w:pPr>
        <w:spacing w:after="0"/>
        <w:rPr>
          <w:b/>
          <w:bCs/>
          <w:sz w:val="28"/>
          <w:szCs w:val="28"/>
        </w:rPr>
      </w:pPr>
    </w:p>
    <w:p w:rsidR="008D4E43" w:rsidRDefault="00AF00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 xml:space="preserve">Bilancia kompetencií prebehla v období od 17.1.2019  do 20.3.2019  v rozsahu 38 hodín a boli pri nej použité nasledovné nástroje: </w:t>
      </w:r>
    </w:p>
    <w:p w:rsidR="008D4E43" w:rsidRPr="007A0A66" w:rsidRDefault="00AF005B">
      <w:pPr>
        <w:jc w:val="both"/>
        <w:rPr>
          <w:rFonts w:cs="Calibri"/>
        </w:rPr>
      </w:pPr>
      <w:r w:rsidRPr="007A0A66">
        <w:rPr>
          <w:rFonts w:cs="Calibri"/>
        </w:rPr>
        <w:t>A3- Denník hľadania práce, A5- Otázky na pracovný rozhovor, A6- Skrytý a zjavný trh práce, B2- Rob to, čo najlepšie vieš, B3- osobnostné predpoklady, B4 – zoznam vlastností, B7 – Johari okno, C1 -Profesijné okruhy RIASEC – „Párty C2-Profesijné okruhy RIASEC – Dotazník, C3-Profesijné okruhy RIASEC – Charakteristiky typov, C5-Moje profesijné hodnoty – kartičky, C6- Moje profesijné hodnoty – Knowdell, Dotazník – MBTI, D1-Skladanie kompetencií, D4, D5- Kľúčové kompetencie</w:t>
      </w:r>
      <w:r w:rsidRPr="007A0A66">
        <w:rPr>
          <w:rFonts w:cs="Calibri"/>
          <w:b/>
        </w:rPr>
        <w:t xml:space="preserve">, </w:t>
      </w:r>
      <w:r w:rsidRPr="007A0A66">
        <w:rPr>
          <w:rFonts w:cs="Calibri"/>
        </w:rPr>
        <w:t>Karierový kvietok.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8D4E43" w:rsidRDefault="00AF005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8D4E43" w:rsidRPr="007A0A66" w:rsidRDefault="00B37B9F" w:rsidP="007A0A66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-43815</wp:posOffset>
                </wp:positionH>
                <wp:positionV relativeFrom="paragraph">
                  <wp:posOffset>109220</wp:posOffset>
                </wp:positionV>
                <wp:extent cx="6717665" cy="1863090"/>
                <wp:effectExtent l="0" t="0" r="2603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665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E43" w:rsidRDefault="00AF005B" w:rsidP="007A0A66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 evidencii úradu práce ste 17 mesiacov, je to Vaša štvrtá  evidencia, t.č. máte štatút dlhodobo evidovaného uchádzača, doposiaľ ste na</w:t>
                            </w:r>
                            <w:r w:rsidR="007A0A66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základe pracovnej zmluvy nepracovala,  aktívne ste sa však počas evidencií na úrade práce zapájala do aktivačných činností. Máte ukončené základné vzdelanie.</w:t>
                            </w:r>
                          </w:p>
                          <w:p w:rsidR="008D4E43" w:rsidRDefault="007A0A6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</w:t>
                            </w:r>
                            <w:r w:rsidR="00AF005B">
                              <w:rPr>
                                <w:i/>
                              </w:rPr>
                              <w:t xml:space="preserve">a základe zhrnutia a analýzy  vstupného rozhovoru ste vyjadrila, že by ste chcela vedieť pomenovať svoje pracovné a mimopracovné kompetencie. Chcete sa naučiť orientovať na regionálnom trhu práce, chcete si ujasniť </w:t>
                            </w:r>
                            <w:r>
                              <w:rPr>
                                <w:i/>
                              </w:rPr>
                              <w:t>kariérny</w:t>
                            </w:r>
                            <w:r w:rsidR="00AF005B">
                              <w:rPr>
                                <w:i/>
                              </w:rPr>
                              <w:t xml:space="preserve"> cieľ, zhodnotiť možnosť ďalšieho vzdelávania.</w:t>
                            </w:r>
                          </w:p>
                          <w:p w:rsidR="008D4E43" w:rsidRDefault="00AF005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Vyjadrila ste potrebu pomoci pri tvorbe životopisu, žiadosti o prijatie do zamestnania a pomoc pri hľadaní  zamestnania.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45pt;margin-top:8.6pt;width:528.95pt;height:14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">
                <v:textbox>
                  <w:txbxContent>
                    <w:p w:rsidR="008D4E43" w:rsidRDefault="00AF005B" w:rsidP="007A0A66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 evidencii úradu práce ste 17 mesiacov, je to Vaša štvrtá  evidencia, t.č. máte štatút dlhodobo evidovaného uchádzača, doposiaľ ste na</w:t>
                      </w:r>
                      <w:r w:rsidR="007A0A66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základe pracovnej zmluvy nepracovala,  aktívne ste sa však počas evidencií na úrade práce zapájala do aktivačných činností. Máte ukončené základné vzdelanie.</w:t>
                      </w:r>
                    </w:p>
                    <w:p w:rsidR="008D4E43" w:rsidRDefault="007A0A6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</w:t>
                      </w:r>
                      <w:r w:rsidR="00AF005B">
                        <w:rPr>
                          <w:i/>
                        </w:rPr>
                        <w:t xml:space="preserve">a základe zhrnutia a analýzy  vstupného rozhovoru ste vyjadrila, že by ste chcela vedieť pomenovať svoje pracovné a mimopracovné kompetencie. Chcete sa naučiť orientovať na regionálnom trhu práce, chcete si ujasniť </w:t>
                      </w:r>
                      <w:r>
                        <w:rPr>
                          <w:i/>
                        </w:rPr>
                        <w:t>kariérny</w:t>
                      </w:r>
                      <w:r w:rsidR="00AF005B">
                        <w:rPr>
                          <w:i/>
                        </w:rPr>
                        <w:t xml:space="preserve"> cieľ, zhodnotiť možnosť ďalšieho vzdelávania.</w:t>
                      </w:r>
                    </w:p>
                    <w:p w:rsidR="008D4E43" w:rsidRDefault="00AF005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Vyjadrila ste potrebu pomoci pri tvorbe životopisu, žiadosti o prijatie do zamestnania a pomoc pri hľadaní  zamestnania.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05B">
        <w:rPr>
          <w:sz w:val="20"/>
        </w:rPr>
        <w:br w:type="page"/>
      </w:r>
      <w:bookmarkStart w:id="2" w:name="_Toc390942113"/>
      <w:r w:rsidR="00AF005B">
        <w:rPr>
          <w:b/>
          <w:bCs/>
          <w:sz w:val="32"/>
          <w:szCs w:val="32"/>
        </w:rPr>
        <w:lastRenderedPageBreak/>
        <w:t>3.Motivácia</w:t>
      </w:r>
    </w:p>
    <w:p w:rsidR="008D4E43" w:rsidRDefault="00AF005B" w:rsidP="007A0A66">
      <w:pPr>
        <w:jc w:val="both"/>
      </w:pPr>
      <w:r>
        <w:t xml:space="preserve">V portfóliu kompetencií uvádzate, </w:t>
      </w:r>
      <w:r w:rsidR="007A0A66">
        <w:t>že medzi V</w:t>
      </w:r>
      <w:r>
        <w:t xml:space="preserve">aše hlavné kompetencie  patria dobré sociálne a komunikačné  zručnosti, viete počúvať a pochopiť druhého. Dobrá komunikácia Vám pomáha ľahko nadväzovať vzťahy. Ďalej za svoje zručnosti označujete : manuálnu zručnosť – čistenie, udržiavanie poriadku. Máte záujem nájsť si zamestnanie, ktoré by bolo v súlade s hodnotami ako je stabilita,  dobré medziľudské vzťahy, v ktorom budete vedieť využiť svoje mimopracovné zručnosti, ktoré ste nadobudla počas obdobia starostlivosti  o šesť maloletých detí. </w:t>
      </w:r>
      <w:r w:rsidR="007A0A66">
        <w:t>Zamestnanie by malo</w:t>
      </w:r>
      <w:r>
        <w:t xml:space="preserve"> byť dostupné tak do vzdialenosti 10 km od miesta Vášho bydliska, </w:t>
      </w:r>
      <w:r w:rsidR="007A0A66">
        <w:t xml:space="preserve">a práca </w:t>
      </w:r>
      <w:r>
        <w:t>v jednozmenn</w:t>
      </w:r>
      <w:r w:rsidR="007A0A66">
        <w:t>ej resp. dvojzmennej prevádzke. P</w:t>
      </w:r>
      <w:r>
        <w:t xml:space="preserve">ri stanovení svojho cieľového zamestnania  ste vychádzala aj zo svojich silných stránok ktorými sú – vytrvalosť, pracovitosť, spoľahlivosť, zodpovednosť, ochota k výkonu – chuť do práce. Za prvá cielené povolanie ste si stanovila:  </w:t>
      </w:r>
      <w:r>
        <w:rPr>
          <w:b/>
          <w:i/>
          <w:sz w:val="20"/>
        </w:rPr>
        <w:t>Obsluha zariadení v práčovni</w:t>
      </w:r>
      <w:r>
        <w:rPr>
          <w:sz w:val="20"/>
        </w:rPr>
        <w:t xml:space="preserve">  </w:t>
      </w:r>
      <w:r>
        <w:t xml:space="preserve">a druhé cielené povolanie: </w:t>
      </w:r>
      <w:r>
        <w:rPr>
          <w:b/>
          <w:i/>
        </w:rPr>
        <w:t>upratovačka.</w:t>
      </w:r>
    </w:p>
    <w:p w:rsidR="008D4E43" w:rsidRDefault="008D4E43"/>
    <w:p w:rsidR="008D4E43" w:rsidRDefault="00AF005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8D4E43" w:rsidRDefault="00AF005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8D4E43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A0A66" w:rsidP="007A0A6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 w:rsidR="00AF005B">
              <w:rPr>
                <w:sz w:val="20"/>
              </w:rPr>
              <w:t>bsluha zariadení v práčovni a čistiarni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</w:tr>
      <w:tr w:rsidR="008D4E43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120"/>
              <w:rPr>
                <w:u w:val="single"/>
              </w:rPr>
            </w:pPr>
            <w:r w:rsidRPr="007A0A66">
              <w:rPr>
                <w:u w:val="single"/>
              </w:rPr>
              <w:t>Zručnosti - nadobudnuté  mimopracovnými činnosťami</w:t>
            </w:r>
          </w:p>
          <w:p w:rsidR="008D4E43" w:rsidRPr="007A0A66" w:rsidRDefault="007A0A66">
            <w:pPr>
              <w:pStyle w:val="Odsekzoznamu"/>
              <w:numPr>
                <w:ilvl w:val="0"/>
                <w:numId w:val="6"/>
              </w:numPr>
              <w:spacing w:after="120"/>
            </w:pPr>
            <w:r w:rsidRPr="007A0A66">
              <w:t>p</w:t>
            </w:r>
            <w:r w:rsidR="00AF005B" w:rsidRPr="007A0A66">
              <w:t>ranie, žehlenie</w:t>
            </w:r>
          </w:p>
          <w:p w:rsidR="008D4E43" w:rsidRPr="007A0A66" w:rsidRDefault="007A0A66">
            <w:pPr>
              <w:pStyle w:val="Odsekzoznamu"/>
              <w:numPr>
                <w:ilvl w:val="0"/>
                <w:numId w:val="6"/>
              </w:numPr>
              <w:spacing w:after="120"/>
            </w:pPr>
            <w:r w:rsidRPr="007A0A66">
              <w:t>t</w:t>
            </w:r>
            <w:r w:rsidR="00AF005B" w:rsidRPr="007A0A66">
              <w:t>riedenie, skladanie bielizne</w:t>
            </w:r>
          </w:p>
          <w:p w:rsidR="008D4E43" w:rsidRPr="007A0A66" w:rsidRDefault="008D4E43">
            <w:pPr>
              <w:spacing w:after="12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120"/>
              <w:rPr>
                <w:u w:val="single"/>
              </w:rPr>
            </w:pPr>
            <w:r w:rsidRPr="007A0A66">
              <w:rPr>
                <w:u w:val="single"/>
              </w:rPr>
              <w:t>Zručnosti - nadobudnuté  mimopracovnými činnosťami a vykonávaním aktivačných prác</w:t>
            </w:r>
          </w:p>
          <w:p w:rsidR="008D4E43" w:rsidRPr="007A0A66" w:rsidRDefault="00AF005B">
            <w:pPr>
              <w:pStyle w:val="Odsekzoznamu"/>
              <w:numPr>
                <w:ilvl w:val="0"/>
                <w:numId w:val="6"/>
              </w:numPr>
              <w:spacing w:after="120"/>
            </w:pPr>
            <w:r w:rsidRPr="007A0A66">
              <w:t xml:space="preserve"> hrabanie vysýpanie smetných košov – triedenie odpadu, vysávanie, zametanie podláh, udržiavanie poriadku </w:t>
            </w:r>
          </w:p>
        </w:tc>
      </w:tr>
      <w:tr w:rsidR="008D4E4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8D4E43">
            <w:pPr>
              <w:spacing w:after="60"/>
            </w:pPr>
          </w:p>
          <w:p w:rsidR="008D4E43" w:rsidRPr="007A0A66" w:rsidRDefault="00AF005B">
            <w:pPr>
              <w:spacing w:after="60"/>
            </w:pPr>
            <w:r w:rsidRPr="007A0A66">
              <w:t>Zodpovednosť, pracovitosť, spoľahlivosť, vytrvalosť, ochota k výkonu, komunikatívnosť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8D4E43">
            <w:pPr>
              <w:spacing w:after="60"/>
            </w:pPr>
          </w:p>
          <w:p w:rsidR="008D4E43" w:rsidRPr="007A0A66" w:rsidRDefault="00AF005B">
            <w:pPr>
              <w:spacing w:after="60"/>
            </w:pPr>
            <w:r w:rsidRPr="007A0A66">
              <w:t>Zodpovednosť, pracovitosť, spoľahlivosť, vytrvalosť, ochota k výkonu, komunikatívnosť</w:t>
            </w:r>
          </w:p>
        </w:tc>
      </w:tr>
      <w:tr w:rsidR="008D4E4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60"/>
            </w:pPr>
            <w:r w:rsidRPr="007A0A66">
              <w:t>Poznať chemické spôsoby čistenia a prania</w:t>
            </w:r>
          </w:p>
          <w:p w:rsidR="008D4E43" w:rsidRPr="007A0A66" w:rsidRDefault="008D4E43">
            <w:pPr>
              <w:spacing w:after="60"/>
            </w:pPr>
          </w:p>
          <w:p w:rsidR="008D4E43" w:rsidRPr="007A0A66" w:rsidRDefault="00AF005B">
            <w:pPr>
              <w:spacing w:after="60"/>
            </w:pPr>
            <w:r w:rsidRPr="007A0A66">
              <w:t>Prekážky: starostlivosť o nezaopatrené deti, mobilita možná iba do vzdialenosti cca 10 km od TB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60"/>
            </w:pPr>
            <w:r w:rsidRPr="007A0A66">
              <w:t>Prekážky: starostlivosť o nezaopatrené deti, mobilita možná iba do vzdialenosti cca 10 km od TB</w:t>
            </w:r>
          </w:p>
        </w:tc>
      </w:tr>
    </w:tbl>
    <w:p w:rsidR="008D4E43" w:rsidRDefault="008D4E43">
      <w:pPr>
        <w:rPr>
          <w:sz w:val="20"/>
        </w:rPr>
      </w:pPr>
    </w:p>
    <w:p w:rsidR="008D4E43" w:rsidRDefault="00AF005B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8D4E43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A0A66">
            <w:pPr>
              <w:spacing w:after="0" w:line="240" w:lineRule="auto"/>
            </w:pPr>
            <w:r w:rsidRPr="007A0A66">
              <w:t>ZOS Prakovce</w:t>
            </w: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>Idea DSS Prakovce</w:t>
            </w: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 xml:space="preserve">Provitae </w:t>
            </w:r>
            <w:r w:rsidR="007A0A66" w:rsidRPr="007A0A66">
              <w:t xml:space="preserve"> n.o. </w:t>
            </w:r>
            <w:r w:rsidRPr="007A0A66">
              <w:t>Gelnica</w:t>
            </w: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>DSS Nálepkovo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8D4E43" w:rsidP="007A0A66">
            <w:pPr>
              <w:spacing w:after="0" w:line="240" w:lineRule="auto"/>
            </w:pP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>Všetky väčšie firmy, nemocnica,  obchodne prevádzky, verejné inštitúcie</w:t>
            </w:r>
          </w:p>
          <w:p w:rsidR="008D4E43" w:rsidRPr="007A0A66" w:rsidRDefault="008D4E43" w:rsidP="007A0A66">
            <w:pPr>
              <w:spacing w:after="0" w:line="240" w:lineRule="auto"/>
            </w:pPr>
          </w:p>
        </w:tc>
      </w:tr>
      <w:tr w:rsidR="008D4E43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A0A66">
            <w:pPr>
              <w:spacing w:after="0" w:line="240" w:lineRule="auto"/>
            </w:pPr>
            <w:r w:rsidRPr="007A0A66">
              <w:t>V okrese Gelnica nie sú momentálne pracovné ponuky</w:t>
            </w: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 xml:space="preserve"> V Košickom kraji:  1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A0A66">
            <w:pPr>
              <w:spacing w:after="0" w:line="240" w:lineRule="auto"/>
            </w:pPr>
            <w:r w:rsidRPr="007A0A66">
              <w:t>V okrese Gelnica : 1 ponuka</w:t>
            </w:r>
          </w:p>
          <w:p w:rsidR="008D4E43" w:rsidRPr="007A0A66" w:rsidRDefault="008D4E43" w:rsidP="007A0A66">
            <w:pPr>
              <w:spacing w:after="0" w:line="240" w:lineRule="auto"/>
            </w:pP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>V Košickom kraji:  63 ponúk vrátane –ponúk (chyžná)</w:t>
            </w:r>
          </w:p>
        </w:tc>
      </w:tr>
      <w:tr w:rsidR="008D4E43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Aspoň 2 konkrétne pracovné ponuky (ISTP.sk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A0A66">
            <w:pPr>
              <w:spacing w:after="0" w:line="240" w:lineRule="auto"/>
            </w:pPr>
            <w:r w:rsidRPr="007A0A66">
              <w:t>Nemocnica s poliklinikou Košice, Rastislavová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A0A66">
            <w:pPr>
              <w:spacing w:after="0" w:line="240" w:lineRule="auto"/>
            </w:pPr>
            <w:r w:rsidRPr="007A0A66">
              <w:t>ZŚ s MŠ Nálepkovo</w:t>
            </w: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>ISS Facility Services spol. s r.o., Košice</w:t>
            </w: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>LUX - KOŠICE, s.r.o</w:t>
            </w:r>
          </w:p>
        </w:tc>
      </w:tr>
    </w:tbl>
    <w:p w:rsidR="008D4E43" w:rsidRDefault="008D4E43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8D4E43" w:rsidRDefault="00AF005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8D4E4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8D4E43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>Vypracovanie životopisu, žiadosti o prijatie do zamestnania, motivačného listu,  Sledovanie vpm na vývesných tabuliach v obci, na internete</w:t>
            </w:r>
          </w:p>
          <w:p w:rsidR="008D4E43" w:rsidRPr="007A0A66" w:rsidRDefault="008D4E43"/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 xml:space="preserve"> 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  <w:rPr>
                <w:sz w:val="20"/>
                <w:szCs w:val="20"/>
              </w:rPr>
            </w:pPr>
            <w:r w:rsidRPr="007A0A66">
              <w:rPr>
                <w:sz w:val="20"/>
                <w:szCs w:val="20"/>
              </w:rPr>
              <w:t>Vypracovať si trojkombináciu:  štruktúrovaný životopis, zaujímavý motivačný list a jasnú žiadosť o prijatie do zamestnania, ziskať prehľad o voľných pracovných miestach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>M.S. si v spolupráci s poradcom vypracovala trojkombináciu dokumentov, získala prehľad o ponukaných pracovných miestach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r w:rsidRPr="007A0A66">
              <w:t xml:space="preserve">Osobné uchádzanie o zamestnanie u zamestnávateľa </w:t>
            </w:r>
            <w:r w:rsidR="007A0A66">
              <w:t xml:space="preserve">: </w:t>
            </w:r>
            <w:r w:rsidRPr="007A0A66">
              <w:t>IDEA DSS Prakovce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>1.3.2019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  <w:ind w:right="-129"/>
            </w:pPr>
            <w:r w:rsidRPr="007A0A66">
              <w:t>Osobne sa prezentovať u zamestnávateľa, odovzdať životopis+CV+ML, zistiť možnosť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 xml:space="preserve"> Zamestnávateľ prevzal a zaevidoval žiadosť, momentálne neeviduje  vpm</w:t>
            </w:r>
          </w:p>
          <w:p w:rsidR="008D4E43" w:rsidRPr="007A0A66" w:rsidRDefault="00AF005B">
            <w:pPr>
              <w:spacing w:after="0"/>
            </w:pPr>
            <w:r w:rsidRPr="007A0A66">
              <w:t>Získané kontaky si I.H. zapísala do Denníka hľadania práce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Pr="007A0A66" w:rsidRDefault="00AF005B" w:rsidP="00762F6E">
            <w:pPr>
              <w:spacing w:after="0"/>
            </w:pPr>
            <w:r w:rsidRPr="007A0A66">
              <w:t xml:space="preserve">Osobné uchádzanie o zamestnanie – Pro </w:t>
            </w:r>
            <w:r w:rsidR="00762F6E" w:rsidRPr="007A0A66">
              <w:t>V</w:t>
            </w:r>
            <w:r w:rsidRPr="007A0A66">
              <w:t>itae Gelnica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>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  <w:ind w:right="-129"/>
            </w:pPr>
            <w:r w:rsidRPr="007A0A66">
              <w:t>Osobne sa prezentovať u zamestnávateľa, odovzdať životopis+CV+ML, zistiť možnosť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 xml:space="preserve">Zamestnávateľ prevzal a zaevidoval žiadosť,  telefonicky alebo písomne poskytne I.H. odpoveď na jej žiadosť </w:t>
            </w:r>
          </w:p>
          <w:p w:rsidR="008D4E43" w:rsidRPr="007A0A66" w:rsidRDefault="00AF005B">
            <w:pPr>
              <w:spacing w:after="0"/>
            </w:pPr>
            <w:r w:rsidRPr="007A0A66">
              <w:t>Získaný kontak si I.H. zapísala do Denníka hľadania práce</w:t>
            </w:r>
          </w:p>
        </w:tc>
      </w:tr>
    </w:tbl>
    <w:p w:rsidR="008D4E43" w:rsidRDefault="00AF005B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UoZ na trhu práce</w:t>
      </w:r>
    </w:p>
    <w:p w:rsidR="008D4E43" w:rsidRPr="00B37B9F" w:rsidRDefault="00AF005B" w:rsidP="00B37B9F">
      <w:pPr>
        <w:spacing w:after="0"/>
        <w:jc w:val="both"/>
        <w:rPr>
          <w:i/>
          <w:sz w:val="20"/>
          <w:szCs w:val="20"/>
        </w:rPr>
      </w:pPr>
      <w:r w:rsidRPr="00B37B9F">
        <w:rPr>
          <w:i/>
          <w:sz w:val="20"/>
          <w:szCs w:val="20"/>
        </w:rPr>
        <w:t xml:space="preserve">Poznámka: Akčný plán musí obsahovať popis plánovaných aktivít DN UoZ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8D4E43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  <w:jc w:val="center"/>
              <w:rPr>
                <w:bCs/>
              </w:rPr>
            </w:pPr>
            <w:r w:rsidRPr="007A0A66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762F6E" w:rsidP="00762F6E">
            <w:pPr>
              <w:spacing w:after="0"/>
            </w:pPr>
            <w:r w:rsidRPr="007A0A66">
              <w:t xml:space="preserve">Osobné uchádzanie sa o zamestnanie u zamestnávateľa </w:t>
            </w:r>
            <w:r w:rsidR="00AF005B" w:rsidRPr="007A0A66">
              <w:t xml:space="preserve"> Spojen</w:t>
            </w:r>
            <w:r w:rsidRPr="007A0A66">
              <w:t>á</w:t>
            </w:r>
            <w:r w:rsidR="00AF005B" w:rsidRPr="007A0A66">
              <w:t xml:space="preserve"> škola Prakovce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>
            <w:pPr>
              <w:spacing w:after="0"/>
            </w:pPr>
            <w:r w:rsidRPr="007A0A66">
              <w:t>Overi</w:t>
            </w:r>
            <w:r w:rsidR="007A0A66" w:rsidRPr="007A0A66">
              <w:t>ť si možnosť zamestnať sa v 2. c</w:t>
            </w:r>
            <w:r w:rsidRPr="007A0A66">
              <w:t>ielenom zamestnaní, osobne doručiť zamestnávateľovi žiadosť+CV, vykonanú aktivitu zaznamenať do Denníka práce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8D4E43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30.4.2019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2B2EE6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7A0A66">
              <w:t xml:space="preserve">Informovať sa na úrade práce  o príspevkoch na zamestnanie znevýhodneného UoZ </w:t>
            </w:r>
            <w:r w:rsidR="00AF005B" w:rsidRPr="007A0A66">
              <w:t xml:space="preserve"> </w:t>
            </w:r>
          </w:p>
          <w:p w:rsidR="002B2EE6" w:rsidRPr="007A0A66" w:rsidRDefault="002B2EE6" w:rsidP="002B2EE6">
            <w:pPr>
              <w:pStyle w:val="Odsekzoznamu"/>
              <w:spacing w:after="0"/>
            </w:pPr>
          </w:p>
          <w:p w:rsidR="002B2EE6" w:rsidRPr="007A0A66" w:rsidRDefault="002B2EE6" w:rsidP="002B2EE6">
            <w:pPr>
              <w:pStyle w:val="Odsekzoznamu"/>
              <w:spacing w:after="0"/>
            </w:pPr>
          </w:p>
          <w:p w:rsidR="002B2EE6" w:rsidRPr="007A0A66" w:rsidRDefault="002B2EE6" w:rsidP="002B2EE6">
            <w:pPr>
              <w:pStyle w:val="Odsekzoznamu"/>
              <w:spacing w:after="0"/>
            </w:pPr>
          </w:p>
          <w:p w:rsidR="002B2EE6" w:rsidRPr="007A0A66" w:rsidRDefault="002B2EE6" w:rsidP="002B2EE6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7A0A66">
              <w:t xml:space="preserve">Založiť si mailovú adresu, zaregistrovať sa  na </w:t>
            </w:r>
            <w:hyperlink r:id="rId10" w:history="1">
              <w:r w:rsidRPr="007A0A66">
                <w:rPr>
                  <w:rStyle w:val="Hypertextovprepojenie"/>
                </w:rPr>
                <w:t>www.istp.sk</w:t>
              </w:r>
            </w:hyperlink>
            <w:r w:rsidRPr="007A0A66">
              <w:t xml:space="preserve"> (využiť služby komunitného centra, prípadne poradcu na upsvr)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2B2EE6">
            <w:pPr>
              <w:spacing w:after="0"/>
            </w:pPr>
            <w:r w:rsidRPr="007A0A66">
              <w:t xml:space="preserve">Získať informačné letáky o poskytovaných príspevkoch pre zamestnávateľov, a tie v prípade osobného kontaktu poskytnúť  potencionálnemu zamestnávateľovi  </w:t>
            </w:r>
          </w:p>
          <w:p w:rsidR="002B2EE6" w:rsidRPr="007A0A66" w:rsidRDefault="002B2EE6" w:rsidP="002B2EE6">
            <w:pPr>
              <w:spacing w:after="0"/>
            </w:pPr>
            <w:r w:rsidRPr="007A0A66">
              <w:t>Reagovať na ponuky pracovných miest priamo z portálu istp.sk</w:t>
            </w:r>
          </w:p>
        </w:tc>
      </w:tr>
      <w:tr w:rsidR="008D4E43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95838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95838" w:rsidRPr="007A0A66" w:rsidRDefault="00795838" w:rsidP="00795838">
            <w:pPr>
              <w:spacing w:after="0"/>
            </w:pPr>
            <w:r w:rsidRPr="007A0A66">
              <w:t xml:space="preserve">Osobne sa uchádzať o zamestnanie  u zamestnávateľov </w:t>
            </w:r>
          </w:p>
          <w:p w:rsidR="008D4E43" w:rsidRPr="007A0A66" w:rsidRDefault="00AF005B" w:rsidP="00795838">
            <w:pPr>
              <w:spacing w:after="0"/>
            </w:pPr>
            <w:r w:rsidRPr="007A0A66">
              <w:t xml:space="preserve"> Prakon s.r.o. Prakovce, TREVA s.r.o., Prakovce</w:t>
            </w:r>
            <w:r w:rsidR="00795838" w:rsidRPr="007A0A66">
              <w:t xml:space="preserve">  o pracovnú pozíciu upratovačka), u zamestnávateľa Zariadenie opatrovateľskej služby Prakovce – obsluha zariadení v práčovni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795838" w:rsidP="00795838">
            <w:pPr>
              <w:spacing w:after="0"/>
            </w:pPr>
            <w:r w:rsidRPr="007A0A66">
              <w:t>Získať zamestnanie, nadobudnúť skúsenosti so sebaprezentáciou u zamestnávateľa</w:t>
            </w:r>
          </w:p>
          <w:p w:rsidR="00795838" w:rsidRPr="007A0A66" w:rsidRDefault="00795838" w:rsidP="00795838">
            <w:pPr>
              <w:spacing w:after="0"/>
            </w:pPr>
            <w:r w:rsidRPr="007A0A66">
              <w:t>Získane kontakty si zaznamenať do Denníka hľadania práce, o výsledkoch informovať  svoju sprostredkovateľku</w:t>
            </w:r>
          </w:p>
        </w:tc>
      </w:tr>
    </w:tbl>
    <w:p w:rsidR="008D4E43" w:rsidRDefault="00B37B9F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522605</wp:posOffset>
                </wp:positionV>
                <wp:extent cx="6943725" cy="2231390"/>
                <wp:effectExtent l="0" t="0" r="28575" b="1651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23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E43" w:rsidRDefault="00795838" w:rsidP="007A0A66">
                            <w:pPr>
                              <w:jc w:val="both"/>
                              <w:rPr>
                                <w:i/>
                              </w:rPr>
                            </w:pPr>
                            <w:bookmarkStart w:id="6" w:name="_GoBack"/>
                            <w:r>
                              <w:rPr>
                                <w:i/>
                              </w:rPr>
                              <w:t>Pani I. Horváthová máte veľkú chuť pracovať, na ľudí pôsobite milo,  ste aktívna aj počas obdobia nezamestnanosti ste sa  zapájala do aktivačných prác. Uvádzate</w:t>
                            </w:r>
                            <w:r w:rsidR="007A0A66"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že za hlavný prínos bilancie kompetencií považujete </w:t>
                            </w:r>
                            <w:r w:rsidR="00831943">
                              <w:rPr>
                                <w:i/>
                              </w:rPr>
                              <w:t>poznanie svojich zručností a nácvik sebaprezentácie u zamestnávateľa, čo Vám dodalo odvahu osobne kontaktovať s vypracovaným životopisom a žiadosťou zamestnávateľov. Doporučujem Vám dodržať obsahovú a   časovú schému uvedenú  v akčnom pláne. Nepoľavovať vo vyhľadávaní pracovných ponúk, kontaktovať aj takých zamestnávateľov, ktorí nemajú zverejnené voľné pracovné miesto. Z dôvodu zvýšenia šance na zamestnanie v </w:t>
                            </w:r>
                            <w:r w:rsidR="007A0A66">
                              <w:rPr>
                                <w:i/>
                              </w:rPr>
                              <w:t>nadväznosti</w:t>
                            </w:r>
                            <w:r w:rsidR="00831943">
                              <w:rPr>
                                <w:i/>
                              </w:rPr>
                              <w:t xml:space="preserve"> na vaše vzdelanie , ktorým je ukončená základná škola, dovoľujem si Vám doporučiť  aj externe štúdium na strednej škole.</w:t>
                            </w:r>
                          </w:p>
                          <w:p w:rsidR="00831943" w:rsidRDefault="0080306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Máte dobré komunikačné schopnosti, viete pochopiť druhého, a uviedla ste,</w:t>
                            </w:r>
                            <w:r w:rsidR="00831943">
                              <w:rPr>
                                <w:i/>
                              </w:rPr>
                              <w:t xml:space="preserve"> že by ste mala záujem aj o prácu predavačky no nemáte na to kvalifikáciu, preto by som Vám d</w:t>
                            </w:r>
                            <w:r>
                              <w:rPr>
                                <w:i/>
                              </w:rPr>
                              <w:t>oporučila zvážiť aj absolvovanie rekvalifikácie a to napr. kurz  asistent predaja.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9pt;margin-top:41.15pt;width:546.75pt;height:17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">
                <v:textbox>
                  <w:txbxContent>
                    <w:p w:rsidR="008D4E43" w:rsidRDefault="00795838" w:rsidP="007A0A66">
                      <w:pPr>
                        <w:jc w:val="both"/>
                        <w:rPr>
                          <w:i/>
                        </w:rPr>
                      </w:pPr>
                      <w:bookmarkStart w:id="7" w:name="_GoBack"/>
                      <w:r>
                        <w:rPr>
                          <w:i/>
                        </w:rPr>
                        <w:t>Pani I. Horváthová máte veľkú chuť pracovať, na ľudí pôsobite milo,  ste aktívna aj počas obdobia nezamestnanosti ste sa  zapájala do aktivačných prác. Uvádzate</w:t>
                      </w:r>
                      <w:r w:rsidR="007A0A66"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</w:rPr>
                        <w:t xml:space="preserve"> že za hlavný prínos bilancie kompetencií považujete </w:t>
                      </w:r>
                      <w:r w:rsidR="00831943">
                        <w:rPr>
                          <w:i/>
                        </w:rPr>
                        <w:t>poznanie svojich zručností a nácvik sebaprezentácie u zamestnávateľa, čo Vám dodalo odvahu osobne kontaktovať s vypracovaným životopisom a žiadosťou zamestnávateľov. Doporučujem Vám dodržať obsahovú a   časovú schému uvedenú  v akčnom pláne. Nepoľavovať vo vyhľadávaní pracovných ponúk, kontaktovať aj takých zamestnávateľov, ktorí nemajú zverejnené voľné pracovné miesto. Z dôvodu zvýšenia šance na zamestnanie v </w:t>
                      </w:r>
                      <w:r w:rsidR="007A0A66">
                        <w:rPr>
                          <w:i/>
                        </w:rPr>
                        <w:t>nadväznosti</w:t>
                      </w:r>
                      <w:r w:rsidR="00831943">
                        <w:rPr>
                          <w:i/>
                        </w:rPr>
                        <w:t xml:space="preserve"> na vaše vzdelanie , ktorým je ukončená základná škola, dovoľujem si Vám doporučiť  aj externe štúdium na strednej škole.</w:t>
                      </w:r>
                    </w:p>
                    <w:p w:rsidR="00831943" w:rsidRDefault="0080306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Máte dobré komunikačné schopnosti, viete pochopiť druhého, a uviedla ste,</w:t>
                      </w:r>
                      <w:r w:rsidR="00831943">
                        <w:rPr>
                          <w:i/>
                        </w:rPr>
                        <w:t xml:space="preserve"> že by ste mala záujem aj o prácu predavačky no nemáte na to kvalifikáciu, preto by som Vám d</w:t>
                      </w:r>
                      <w:r>
                        <w:rPr>
                          <w:i/>
                        </w:rPr>
                        <w:t>oporučila zvážiť aj absolvovanie rekvalifikácie a to napr. kurz  asistent predaja.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05B">
        <w:rPr>
          <w:rFonts w:ascii="Calibri" w:hAnsi="Calibri"/>
          <w:sz w:val="32"/>
        </w:rPr>
        <w:t xml:space="preserve">8. </w:t>
      </w:r>
      <w:bookmarkEnd w:id="1"/>
      <w:r w:rsidR="00AF005B">
        <w:rPr>
          <w:rFonts w:ascii="Calibri" w:hAnsi="Calibri"/>
          <w:sz w:val="32"/>
        </w:rPr>
        <w:t>Individualizované odporúčania pre DN UoZ</w:t>
      </w:r>
    </w:p>
    <w:p w:rsidR="008D4E43" w:rsidRPr="007A0A66" w:rsidRDefault="00AF005B">
      <w:pPr>
        <w:rPr>
          <w:sz w:val="20"/>
          <w:szCs w:val="20"/>
        </w:rPr>
      </w:pPr>
      <w:r w:rsidRPr="007A0A66">
        <w:rPr>
          <w:sz w:val="20"/>
          <w:szCs w:val="20"/>
        </w:rPr>
        <w:t xml:space="preserve">Bola identifikovaná potreba vzdelávania:  </w:t>
      </w:r>
      <w:r w:rsidR="007A0A66">
        <w:rPr>
          <w:rFonts w:ascii="MS Gothic" w:eastAsia="MS Gothic" w:hAnsi="MS Gothic"/>
          <w:sz w:val="20"/>
          <w:szCs w:val="20"/>
        </w:rPr>
        <w:t>x</w:t>
      </w:r>
      <w:r w:rsidRPr="007A0A66">
        <w:rPr>
          <w:sz w:val="20"/>
          <w:szCs w:val="20"/>
        </w:rPr>
        <w:t xml:space="preserve">áno      </w:t>
      </w:r>
      <w:r w:rsidRPr="007A0A66">
        <w:rPr>
          <w:rFonts w:ascii="MS Gothic" w:eastAsia="MS Gothic" w:hAnsi="MS Gothic" w:hint="eastAsia"/>
          <w:sz w:val="20"/>
          <w:szCs w:val="20"/>
        </w:rPr>
        <w:t>☐</w:t>
      </w:r>
      <w:r w:rsidRPr="007A0A66">
        <w:rPr>
          <w:sz w:val="20"/>
          <w:szCs w:val="20"/>
        </w:rPr>
        <w:t>nie</w:t>
      </w:r>
    </w:p>
    <w:p w:rsidR="008D4E43" w:rsidRDefault="00B37B9F">
      <w:r>
        <w:t>Odporúčané vzdelávanie:  Asistent predaja</w:t>
      </w:r>
    </w:p>
    <w:sectPr w:rsidR="008D4E43" w:rsidSect="008D4E43">
      <w:headerReference w:type="default" r:id="rId11"/>
      <w:footerReference w:type="default" r:id="rId12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43" w:rsidRDefault="00AF005B">
      <w:pPr>
        <w:spacing w:after="0" w:line="240" w:lineRule="auto"/>
      </w:pPr>
      <w:r>
        <w:separator/>
      </w:r>
    </w:p>
  </w:endnote>
  <w:endnote w:type="continuationSeparator" w:id="0">
    <w:p w:rsidR="008D4E43" w:rsidRDefault="00AF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8D4E43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43" w:rsidRDefault="00AF005B">
      <w:pPr>
        <w:spacing w:after="0" w:line="240" w:lineRule="auto"/>
      </w:pPr>
      <w:r>
        <w:separator/>
      </w:r>
    </w:p>
  </w:footnote>
  <w:footnote w:type="continuationSeparator" w:id="0">
    <w:p w:rsidR="008D4E43" w:rsidRDefault="00AF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AF005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8D4E43" w:rsidRDefault="008D4E43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74B1F"/>
    <w:multiLevelType w:val="hybridMultilevel"/>
    <w:tmpl w:val="7AEACAAE"/>
    <w:lvl w:ilvl="0" w:tplc="32D80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43"/>
    <w:rsid w:val="002B2EE6"/>
    <w:rsid w:val="00762F6E"/>
    <w:rsid w:val="00795838"/>
    <w:rsid w:val="007A0A66"/>
    <w:rsid w:val="00803069"/>
    <w:rsid w:val="00831943"/>
    <w:rsid w:val="008D4E43"/>
    <w:rsid w:val="00AF005B"/>
    <w:rsid w:val="00B3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istp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309A-AD42-4669-9C5D-6B622B6B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2019-03-19T12:58:00Z</cp:lastPrinted>
  <dcterms:created xsi:type="dcterms:W3CDTF">2019-03-19T12:59:00Z</dcterms:created>
  <dcterms:modified xsi:type="dcterms:W3CDTF">2019-03-19T12:59:00Z</dcterms:modified>
</cp:coreProperties>
</file>