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CB" w:rsidRDefault="00142B07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5FCB" w:rsidRDefault="00CA5FCB">
      <w:pPr>
        <w:rPr>
          <w:sz w:val="20"/>
        </w:rPr>
      </w:pPr>
    </w:p>
    <w:p w:rsidR="00CA5FCB" w:rsidRDefault="00CD41EC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142B07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142B07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CA5FCB">
        <w:trPr>
          <w:trHeight w:val="268"/>
        </w:trPr>
        <w:tc>
          <w:tcPr>
            <w:tcW w:w="2045" w:type="dxa"/>
            <w:shd w:val="clear" w:color="auto" w:fill="C2D69B"/>
          </w:tcPr>
          <w:p w:rsidR="00CA5FCB" w:rsidRDefault="00CA5FCB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CA5FCB" w:rsidRDefault="00CA5FCB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CA5FCB" w:rsidRDefault="00CA5FCB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CA5FCB" w:rsidRDefault="00CA5FCB">
            <w:pPr>
              <w:spacing w:after="0"/>
            </w:pPr>
          </w:p>
        </w:tc>
      </w:tr>
    </w:tbl>
    <w:p w:rsidR="00CA5FCB" w:rsidRDefault="00CA5FCB">
      <w:pPr>
        <w:pStyle w:val="Nadpis1"/>
        <w:spacing w:after="240"/>
        <w:rPr>
          <w:rFonts w:ascii="Calibri" w:hAnsi="Calibri"/>
          <w:sz w:val="32"/>
        </w:rPr>
      </w:pPr>
    </w:p>
    <w:p w:rsidR="00CA5FCB" w:rsidRDefault="00142B07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CA5FCB">
        <w:trPr>
          <w:trHeight w:val="487"/>
        </w:trPr>
        <w:tc>
          <w:tcPr>
            <w:tcW w:w="2500" w:type="pct"/>
          </w:tcPr>
          <w:p w:rsidR="00CA5FCB" w:rsidRDefault="00142B0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CA5FCB" w:rsidRDefault="00142B0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CA5FCB">
        <w:trPr>
          <w:trHeight w:val="487"/>
        </w:trPr>
        <w:tc>
          <w:tcPr>
            <w:tcW w:w="2500" w:type="pct"/>
          </w:tcPr>
          <w:p w:rsidR="00CA5FCB" w:rsidRDefault="00142B0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</w:t>
            </w:r>
            <w:r>
              <w:rPr>
                <w:b/>
              </w:rPr>
              <w:t xml:space="preserve">Mária Rybárová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CA5FCB" w:rsidRDefault="00142B0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</w:t>
            </w:r>
            <w:r>
              <w:rPr>
                <w:b/>
              </w:rPr>
              <w:t xml:space="preserve">JUDr. Mgr. Ladislav </w:t>
            </w:r>
            <w:proofErr w:type="spellStart"/>
            <w:r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CA5FCB">
        <w:trPr>
          <w:trHeight w:val="487"/>
        </w:trPr>
        <w:tc>
          <w:tcPr>
            <w:tcW w:w="2500" w:type="pct"/>
          </w:tcPr>
          <w:p w:rsidR="00CA5FCB" w:rsidRDefault="00142B07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CA5FCB" w:rsidRDefault="00142B07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CA5FCB" w:rsidRDefault="00142B07">
      <w:pPr>
        <w:spacing w:after="0"/>
        <w:rPr>
          <w:sz w:val="20"/>
        </w:rPr>
      </w:pPr>
      <w:r>
        <w:rPr>
          <w:sz w:val="20"/>
        </w:rPr>
        <w:t xml:space="preserve">Dátum vyhotovenia záverečnej správy:  </w:t>
      </w:r>
      <w:r w:rsidR="00793C93">
        <w:rPr>
          <w:sz w:val="20"/>
        </w:rPr>
        <w:t>11</w:t>
      </w:r>
      <w:r>
        <w:rPr>
          <w:sz w:val="20"/>
        </w:rPr>
        <w:t>.3.2019</w:t>
      </w:r>
    </w:p>
    <w:p w:rsidR="00CA5FCB" w:rsidRDefault="00CA5FCB">
      <w:pPr>
        <w:spacing w:after="0"/>
        <w:rPr>
          <w:sz w:val="20"/>
        </w:rPr>
      </w:pPr>
    </w:p>
    <w:p w:rsidR="00CA5FCB" w:rsidRDefault="00142B0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CA5FCB" w:rsidRDefault="00142B07">
      <w:pPr>
        <w:jc w:val="both"/>
      </w:pPr>
      <w:r>
        <w:t xml:space="preserve">Bilancia kompetencií prebehla v období od 18.1.2019  do 27.3.2019  v rozsahu 38 hodín a boli pri nej použité nasledovné nástroje: D4 – Kľúčové </w:t>
      </w:r>
      <w:proofErr w:type="spellStart"/>
      <w:r>
        <w:t>kompetenci</w:t>
      </w:r>
      <w:proofErr w:type="spellEnd"/>
      <w:r>
        <w:t xml:space="preserve"> 1, D5 – Kľúčové kompetencie -2,  B2 -Rob to čo najlepšie vieš – </w:t>
      </w:r>
      <w:proofErr w:type="spellStart"/>
      <w:r>
        <w:t>sebahodnotenie</w:t>
      </w:r>
      <w:proofErr w:type="spellEnd"/>
      <w:r>
        <w:t xml:space="preserve">, Dotazník- MBTI, Môj profesijný typ, A12 – plán cesty,  C1, C2, C3 – Profesijné okruhy RIASEC,  B5 – Moje vlastnosti, C6- Moje profesijné hodnoty – </w:t>
      </w:r>
      <w:proofErr w:type="spellStart"/>
      <w:r>
        <w:t>Knowdell</w:t>
      </w:r>
      <w:proofErr w:type="spellEnd"/>
      <w:r>
        <w:t xml:space="preserve">, C10 – v akých povolaniach sa môžem uplatniť, </w:t>
      </w:r>
      <w:proofErr w:type="spellStart"/>
      <w:r>
        <w:t>Karierový</w:t>
      </w:r>
      <w:proofErr w:type="spellEnd"/>
      <w:r>
        <w:t xml:space="preserve"> kvietok, kompetenčné portfólio.</w:t>
      </w:r>
    </w:p>
    <w:p w:rsidR="00CA5FCB" w:rsidRDefault="00142B07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CA5FCB" w:rsidRDefault="00142B07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CA5FCB" w:rsidRDefault="00CD41EC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9.05pt;margin-top:8.6pt;width:543.65pt;height:149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umLQ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">
            <v:textbox>
              <w:txbxContent>
                <w:p w:rsidR="00CA5FCB" w:rsidRDefault="00142B0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V evidencií úradu práce ste od 11.1.2017  (14 mesiacov).  Je to vaša druhá skúsenosť s evidenciou ako uchádzačka o zamestnanie. Máte znevýhodnenie z hľadiska dĺžky evidencie a stupňa vzdelania, ukončené základné vzdelanie. Doposiaľ nemáte žiadne pracovné skúsenosti. Najdlhšie obdobie od ukončenia  školy </w:t>
                  </w:r>
                  <w:proofErr w:type="spellStart"/>
                  <w:r>
                    <w:rPr>
                      <w:i/>
                    </w:rPr>
                    <w:t>t.z</w:t>
                  </w:r>
                  <w:proofErr w:type="spellEnd"/>
                  <w:r>
                    <w:rPr>
                      <w:i/>
                    </w:rPr>
                    <w:t xml:space="preserve">.  cca 15 rokov  ste bola na materskej dovolenke a poberala ste rodičovský príspevok. </w:t>
                  </w:r>
                </w:p>
                <w:p w:rsidR="00CA5FCB" w:rsidRDefault="00142B0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Na základe zistených informácií by ste chcela: nájsť – pomenovať aspoň 2 cieľové zamestnanie, v ktorých by ste sa mohla uplatniť, identifikovať svoje kľúčové kompetencie, získať informácie o spôsobe hľadania aktuálnych voľných pracovných miest. A vyjadrila ste potrebu pomoci  pri spracovaní životopisu a žiadosti o prijatie do zamestnania. A pomoc so </w:t>
                  </w:r>
                  <w:proofErr w:type="spellStart"/>
                  <w:r>
                    <w:rPr>
                      <w:i/>
                    </w:rPr>
                    <w:t>sebaprezentáciou</w:t>
                  </w:r>
                  <w:proofErr w:type="spellEnd"/>
                  <w:r>
                    <w:rPr>
                      <w:i/>
                    </w:rPr>
                    <w:t xml:space="preserve"> na pracovných pohovoroch.</w:t>
                  </w:r>
                </w:p>
                <w:p w:rsidR="00CA5FCB" w:rsidRDefault="00CA5FCB">
                  <w:pPr>
                    <w:jc w:val="both"/>
                    <w:rPr>
                      <w:i/>
                    </w:rPr>
                  </w:pPr>
                </w:p>
                <w:p w:rsidR="00CA5FCB" w:rsidRDefault="00CA5FCB">
                  <w:pPr>
                    <w:jc w:val="both"/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 w:rsidR="00142B07">
        <w:rPr>
          <w:sz w:val="20"/>
        </w:rPr>
        <w:br w:type="page"/>
      </w:r>
      <w:bookmarkStart w:id="2" w:name="_Toc390942113"/>
      <w:r w:rsidR="00142B07">
        <w:rPr>
          <w:b/>
          <w:bCs/>
          <w:sz w:val="32"/>
          <w:szCs w:val="32"/>
        </w:rPr>
        <w:lastRenderedPageBreak/>
        <w:t>3.Motivácia</w:t>
      </w:r>
    </w:p>
    <w:p w:rsidR="00CA5FCB" w:rsidRDefault="00142B07">
      <w:pPr>
        <w:jc w:val="both"/>
        <w:rPr>
          <w:b/>
          <w:i/>
        </w:rPr>
      </w:pPr>
      <w:r>
        <w:t xml:space="preserve">V portfóliu kompetencií uvádzate, že medzi Vaše hlavné kompetencie  patria:  upratovanie, čistenie, udržiavanie poriadku,  hrabanie, zametanie. Ste ochotná pomáhať. Máte záujem nájsť si zamestnanie, ktoré by bolo v súlade s hodnotami: pokojné pracovné prostredie, v ktorom by ste pociťovala podporu, preferujete prácu v kolektíve  v ktorom budú dobré vzťahy, pracovná doba, ktorá by Vám  poskytovala čas na starostlivosť o Vašu rodinu.  Zamestnanie by malo byť dostupné  v mieste bydliska v jednozmennej  prevádzke. Pri stanovení svojho cieľového zamestnania  ste vychádzala aj zo svojich silných stránok, ktorými sú – pracovitosť, prispôsobivosť, vytrvalosť. Chcela by ste pracovať predovšetkým v exteriéry – otvorené priestranstvá, kde by ste  vykonávala jednoduché manuálne a pravidelne sa opakujúce činnosti. Na základe </w:t>
      </w:r>
      <w:proofErr w:type="spellStart"/>
      <w:r>
        <w:t>sumarizácie</w:t>
      </w:r>
      <w:proofErr w:type="spellEnd"/>
      <w:r>
        <w:t xml:space="preserve"> svojich kompetencií ste si za 1.cielené povolanie stanovila: </w:t>
      </w:r>
      <w:r>
        <w:rPr>
          <w:b/>
          <w:i/>
        </w:rPr>
        <w:t xml:space="preserve">pracovník na čistenie a údržbu verejných priestranstiev  </w:t>
      </w:r>
      <w:r>
        <w:t xml:space="preserve">a 2. cielené povolanie: </w:t>
      </w:r>
      <w:r>
        <w:rPr>
          <w:b/>
          <w:i/>
        </w:rPr>
        <w:t>pracovník na údržbu verejnej zelene.</w:t>
      </w:r>
    </w:p>
    <w:p w:rsidR="00CA5FCB" w:rsidRDefault="00142B07">
      <w:pPr>
        <w:jc w:val="both"/>
        <w:rPr>
          <w:sz w:val="32"/>
        </w:rPr>
      </w:pPr>
      <w:r>
        <w:t xml:space="preserve"> </w:t>
      </w:r>
      <w:r>
        <w:rPr>
          <w:sz w:val="32"/>
        </w:rPr>
        <w:t xml:space="preserve">4. </w:t>
      </w:r>
      <w:bookmarkEnd w:id="2"/>
      <w:r>
        <w:rPr>
          <w:sz w:val="32"/>
        </w:rPr>
        <w:t>Cielené povolania</w:t>
      </w:r>
    </w:p>
    <w:p w:rsidR="00CA5FCB" w:rsidRDefault="00142B07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CA5FCB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CA5FCB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120"/>
              <w:jc w:val="center"/>
            </w:pPr>
            <w:r>
              <w:t>pracovník na údržbu a čistenie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120"/>
              <w:jc w:val="center"/>
            </w:pPr>
            <w:r>
              <w:t>pracovník na údržbu verejnej  zelene</w:t>
            </w:r>
          </w:p>
        </w:tc>
      </w:tr>
      <w:tr w:rsidR="00CA5FCB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získané  mimopracovnou činnosťou</w:t>
            </w:r>
          </w:p>
          <w:p w:rsidR="00CA5FCB" w:rsidRDefault="00142B07">
            <w:pPr>
              <w:spacing w:after="120"/>
              <w:rPr>
                <w:i/>
                <w:iCs/>
              </w:rPr>
            </w:pPr>
            <w:r>
              <w:t>Manuálne: h</w:t>
            </w:r>
            <w:r>
              <w:rPr>
                <w:i/>
                <w:iCs/>
              </w:rPr>
              <w:t>rabanie , zametanie, upratovanie, udržiavanie  poriadku</w:t>
            </w:r>
          </w:p>
          <w:p w:rsidR="00CA5FCB" w:rsidRDefault="00CA5FCB">
            <w:pPr>
              <w:spacing w:after="120"/>
              <w:rPr>
                <w:i/>
                <w:iCs/>
              </w:rPr>
            </w:pPr>
          </w:p>
          <w:p w:rsidR="00CA5FCB" w:rsidRDefault="00CA5FCB">
            <w:pPr>
              <w:spacing w:after="12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získane  mimopracovnou činnosťou</w:t>
            </w:r>
          </w:p>
          <w:p w:rsidR="00CA5FCB" w:rsidRDefault="00142B07">
            <w:pPr>
              <w:spacing w:after="120"/>
            </w:pPr>
            <w:r>
              <w:t xml:space="preserve">Manuálne: okopávanie, hrabanie, polievanie </w:t>
            </w:r>
          </w:p>
          <w:p w:rsidR="00CA5FCB" w:rsidRDefault="00CA5FCB">
            <w:pPr>
              <w:spacing w:after="120"/>
            </w:pPr>
          </w:p>
        </w:tc>
      </w:tr>
      <w:tr w:rsidR="00CA5FCB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60"/>
            </w:pPr>
            <w:r>
              <w:t>pracovitosť,</w:t>
            </w:r>
            <w:r w:rsidR="00401D51">
              <w:t xml:space="preserve"> </w:t>
            </w:r>
            <w:r>
              <w:t>vytrvalosť,</w:t>
            </w:r>
          </w:p>
          <w:p w:rsidR="00CA5FCB" w:rsidRDefault="00142B07">
            <w:pPr>
              <w:spacing w:after="60"/>
            </w:pPr>
            <w:r>
              <w:t>schopnosť pracovať v kolektíve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60"/>
            </w:pPr>
            <w:r>
              <w:t>pracovitosť,</w:t>
            </w:r>
            <w:r w:rsidR="00401D51">
              <w:t xml:space="preserve"> </w:t>
            </w:r>
            <w:r>
              <w:t>vytrvalosť,</w:t>
            </w:r>
          </w:p>
          <w:p w:rsidR="00CA5FCB" w:rsidRDefault="00142B07">
            <w:pPr>
              <w:spacing w:after="60"/>
            </w:pPr>
            <w:r>
              <w:t>schopnosť pracovať v kolektíve</w:t>
            </w:r>
          </w:p>
        </w:tc>
      </w:tr>
      <w:tr w:rsidR="00CA5FCB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60"/>
            </w:pPr>
            <w:r>
              <w:t xml:space="preserve">Potreba nadobudnúť </w:t>
            </w:r>
          </w:p>
          <w:p w:rsidR="00CA5FCB" w:rsidRDefault="00142B07">
            <w:pPr>
              <w:spacing w:after="60"/>
            </w:pPr>
            <w:r>
              <w:t>znalosti o  triedení odpadu</w:t>
            </w:r>
          </w:p>
          <w:p w:rsidR="00CA5FCB" w:rsidRDefault="00142B07">
            <w:pPr>
              <w:spacing w:after="60"/>
              <w:rPr>
                <w:u w:val="single"/>
              </w:rPr>
            </w:pPr>
            <w:r>
              <w:rPr>
                <w:u w:val="single"/>
              </w:rPr>
              <w:t xml:space="preserve">Prekážky </w:t>
            </w:r>
          </w:p>
          <w:p w:rsidR="00CA5FCB" w:rsidRDefault="00142B07">
            <w:pPr>
              <w:spacing w:after="60"/>
            </w:pPr>
            <w:r>
              <w:t>absentuje prax, starostlivosť  o vlastné nezaopatrené deti , deti zverené do starostlivosti – čo neumožňuje pracovnú mobilitu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60"/>
            </w:pPr>
            <w:r>
              <w:t>Získať vedomosti  - ako vysádzať a ošetrovať rastliny</w:t>
            </w:r>
          </w:p>
          <w:p w:rsidR="00CA5FCB" w:rsidRDefault="00142B07">
            <w:pPr>
              <w:spacing w:after="60"/>
              <w:rPr>
                <w:u w:val="single"/>
              </w:rPr>
            </w:pPr>
            <w:r>
              <w:rPr>
                <w:u w:val="single"/>
              </w:rPr>
              <w:t xml:space="preserve">Prekážky </w:t>
            </w:r>
          </w:p>
          <w:p w:rsidR="00CA5FCB" w:rsidRDefault="00142B07">
            <w:pPr>
              <w:spacing w:after="60"/>
            </w:pPr>
            <w:r>
              <w:t>absentuje prax</w:t>
            </w:r>
          </w:p>
          <w:p w:rsidR="00CA5FCB" w:rsidRDefault="00142B07">
            <w:pPr>
              <w:spacing w:after="60"/>
            </w:pPr>
            <w:r>
              <w:t xml:space="preserve"> starostlivosť  o vlastné nezaopatrené deti,  deti zverené do starostlivosti- čo neumožňuje pracovnú mobilitu</w:t>
            </w:r>
          </w:p>
          <w:p w:rsidR="00CA5FCB" w:rsidRDefault="00CA5FCB">
            <w:pPr>
              <w:spacing w:after="60"/>
            </w:pPr>
          </w:p>
        </w:tc>
      </w:tr>
    </w:tbl>
    <w:p w:rsidR="00CA5FCB" w:rsidRDefault="00CA5FCB">
      <w:pPr>
        <w:rPr>
          <w:sz w:val="20"/>
        </w:rPr>
      </w:pPr>
    </w:p>
    <w:p w:rsidR="00CA5FCB" w:rsidRDefault="00142B07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CA5FCB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CA5FCB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 w:line="360" w:lineRule="auto"/>
            </w:pPr>
            <w:r>
              <w:t>Mestský úrad Moldava nad Bodvou- Stredisko správy budov a nehnuteľnosti</w:t>
            </w:r>
          </w:p>
          <w:p w:rsidR="00CA5FCB" w:rsidRDefault="00142B07">
            <w:pPr>
              <w:spacing w:after="0" w:line="360" w:lineRule="auto"/>
            </w:pPr>
            <w:r>
              <w:t>Všetky obecné úrady v okrese Košice - okolie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 w:line="360" w:lineRule="auto"/>
            </w:pPr>
            <w:r>
              <w:t>Mestský úrad Moldava nad Bodvou- Stredisko správy zelene a cintorína</w:t>
            </w:r>
          </w:p>
          <w:p w:rsidR="00CA5FCB" w:rsidRDefault="00142B07">
            <w:r>
              <w:t>Všetky obecné úrady v okrese Košice - okolie</w:t>
            </w:r>
          </w:p>
        </w:tc>
      </w:tr>
      <w:tr w:rsidR="00CA5FCB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CA5FCB"/>
          <w:p w:rsidR="00CA5FCB" w:rsidRDefault="00142B07" w:rsidP="00401D51">
            <w:pPr>
              <w:jc w:val="center"/>
            </w:pPr>
            <w:r>
              <w:t>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CA5FCB"/>
          <w:p w:rsidR="00CA5FCB" w:rsidRDefault="00142B07" w:rsidP="00401D51">
            <w:pPr>
              <w:jc w:val="center"/>
            </w:pPr>
            <w:r>
              <w:t>1</w:t>
            </w:r>
          </w:p>
        </w:tc>
      </w:tr>
      <w:tr w:rsidR="00CA5FCB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r>
              <w:t>TOPPRO s.r.o., Košice IV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Správa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mestskej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zelene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CA5FCB" w:rsidRDefault="00CA5FCB"/>
        </w:tc>
      </w:tr>
    </w:tbl>
    <w:p w:rsidR="00CA5FCB" w:rsidRDefault="00CA5FCB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CA5FCB" w:rsidRDefault="00142B07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CA5FCB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CA5FCB">
        <w:trPr>
          <w:trHeight w:val="73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</w:pPr>
            <w:r>
              <w:t>Vypracovanie  životopisu 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01D51" w:rsidRDefault="00401D51">
            <w:pPr>
              <w:spacing w:after="0"/>
            </w:pPr>
          </w:p>
          <w:p w:rsidR="00CA5FCB" w:rsidRDefault="00793C93">
            <w:pPr>
              <w:spacing w:after="0"/>
            </w:pPr>
            <w:r>
              <w:t>4.2.2019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E82752">
            <w:pPr>
              <w:spacing w:after="0"/>
            </w:pPr>
            <w:r>
              <w:t>Vypracovať</w:t>
            </w:r>
            <w:r w:rsidR="00142B07">
              <w:t xml:space="preserve">, </w:t>
            </w:r>
            <w:r>
              <w:t>štruktúrovaný</w:t>
            </w:r>
            <w:r w:rsidR="00142B07">
              <w:t xml:space="preserve">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</w:pPr>
            <w:r>
              <w:t>CV + žiadosť o prijatie do zamestnania vypracované</w:t>
            </w:r>
          </w:p>
        </w:tc>
      </w:tr>
      <w:tr w:rsidR="00CA5FCB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</w:pPr>
            <w:r>
              <w:t xml:space="preserve">Vyhľadanie zamestnávateľov v 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01D51" w:rsidRDefault="00401D51">
            <w:pPr>
              <w:spacing w:after="0"/>
            </w:pPr>
          </w:p>
          <w:p w:rsidR="00CA5FCB" w:rsidRDefault="00401D51">
            <w:pPr>
              <w:spacing w:after="0"/>
            </w:pPr>
            <w:r>
              <w:t>4.2.2019 -  11.3.2019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</w:pPr>
            <w:r>
              <w:t xml:space="preserve">Vypracovať si zoznam </w:t>
            </w:r>
            <w:proofErr w:type="spellStart"/>
            <w:r>
              <w:t>potencionálnych</w:t>
            </w:r>
            <w:proofErr w:type="spellEnd"/>
            <w:r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</w:pPr>
            <w:r>
              <w:t xml:space="preserve"> získala prehľad o počte zamestnávateľov v oblasti o ktorú má záujem</w:t>
            </w:r>
          </w:p>
        </w:tc>
      </w:tr>
      <w:tr w:rsidR="00CA5FCB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</w:pPr>
            <w:r>
              <w:t>Sledovanie voľných pracovných miest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793C93">
            <w:pPr>
              <w:spacing w:after="0"/>
            </w:pPr>
            <w:r>
              <w:t>4.2.2019</w:t>
            </w:r>
            <w:r w:rsidR="00142B07">
              <w:t xml:space="preserve"> -  11.3.2019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  <w:ind w:right="-129"/>
            </w:pPr>
            <w:r>
              <w:rPr>
                <w:i/>
              </w:rPr>
              <w:t>získať informácie o spôsobe hľadania aktuálnych voľných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</w:pPr>
            <w:r>
              <w:t xml:space="preserve"> </w:t>
            </w:r>
          </w:p>
          <w:p w:rsidR="00CA5FCB" w:rsidRDefault="00142B07">
            <w:pPr>
              <w:spacing w:after="0"/>
            </w:pPr>
            <w:r>
              <w:t>Sledovala pracovné ponuky z viacerých zdrojov</w:t>
            </w:r>
          </w:p>
        </w:tc>
      </w:tr>
    </w:tbl>
    <w:p w:rsidR="00793C93" w:rsidRDefault="00793C93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401D51" w:rsidRPr="00401D51" w:rsidRDefault="00401D51" w:rsidP="00401D51"/>
    <w:p w:rsidR="00CA5FCB" w:rsidRDefault="00142B07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CA5FCB" w:rsidRDefault="00142B07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CA5FCB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A5FCB" w:rsidRDefault="00142B0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CA5FCB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25.3.2019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Pr="00401D51" w:rsidRDefault="00142B07">
            <w:pPr>
              <w:spacing w:after="0"/>
            </w:pPr>
            <w:r w:rsidRPr="00401D51">
              <w:t>Mestský úrad Moldava nad Bodvou  - žiadosť + životopis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Pr="00401D51" w:rsidRDefault="00142B07">
            <w:pPr>
              <w:spacing w:after="0"/>
            </w:pPr>
            <w:r w:rsidRPr="00401D51">
              <w:t>Osobne zistiť možnosti zamestnania, overiť si schopnosť  osobné sa prezentovať u zamestnávateľa</w:t>
            </w:r>
          </w:p>
          <w:p w:rsidR="00CA5FCB" w:rsidRPr="00401D51" w:rsidRDefault="00CA5FCB">
            <w:pPr>
              <w:spacing w:after="0"/>
            </w:pPr>
          </w:p>
        </w:tc>
      </w:tr>
      <w:tr w:rsidR="00CA5FCB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Pr="00401D51" w:rsidRDefault="00142B07">
            <w:pPr>
              <w:spacing w:after="0"/>
            </w:pPr>
            <w:r w:rsidRPr="00401D51">
              <w:t xml:space="preserve">Informovať sa na </w:t>
            </w:r>
            <w:proofErr w:type="spellStart"/>
            <w:r w:rsidRPr="00401D51">
              <w:t>úpsvr</w:t>
            </w:r>
            <w:proofErr w:type="spellEnd"/>
            <w:r w:rsidRPr="00401D51">
              <w:t xml:space="preserve">  o možnosti vykonávať aktivačné práce</w:t>
            </w:r>
          </w:p>
          <w:p w:rsidR="00CA5FCB" w:rsidRPr="00401D51" w:rsidRDefault="00CA5FCB">
            <w:pPr>
              <w:spacing w:after="0"/>
            </w:pPr>
          </w:p>
          <w:p w:rsidR="00CA5FCB" w:rsidRPr="00401D51" w:rsidRDefault="00142B07">
            <w:pPr>
              <w:spacing w:after="0"/>
            </w:pPr>
            <w:r w:rsidRPr="00401D51">
              <w:t>Poslať 2 žiadosti o prijatie do zamestnania +životopis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Pr="00401D51" w:rsidRDefault="00142B07">
            <w:pPr>
              <w:spacing w:after="0"/>
            </w:pPr>
            <w:r w:rsidRPr="00401D51">
              <w:t xml:space="preserve">Získať </w:t>
            </w:r>
            <w:proofErr w:type="spellStart"/>
            <w:r w:rsidRPr="00401D51">
              <w:t>info</w:t>
            </w:r>
            <w:proofErr w:type="spellEnd"/>
            <w:r w:rsidRPr="00401D51">
              <w:t xml:space="preserve">, nadobudnúť pracovné </w:t>
            </w:r>
            <w:proofErr w:type="spellStart"/>
            <w:r w:rsidRPr="00401D51">
              <w:t>nábyky</w:t>
            </w:r>
            <w:proofErr w:type="spellEnd"/>
          </w:p>
          <w:p w:rsidR="00CA5FCB" w:rsidRPr="00401D51" w:rsidRDefault="00CA5FCB">
            <w:pPr>
              <w:spacing w:after="0"/>
            </w:pPr>
          </w:p>
          <w:p w:rsidR="00CA5FCB" w:rsidRPr="00401D51" w:rsidRDefault="00142B07">
            <w:pPr>
              <w:spacing w:after="0"/>
            </w:pPr>
            <w:r w:rsidRPr="00401D51">
              <w:t>Osloviť  zamestnávateľov, aj na  sezónne práce , získať zamestnanie, zúčastniť sa výberových konaní</w:t>
            </w:r>
          </w:p>
        </w:tc>
      </w:tr>
      <w:tr w:rsidR="00CA5FCB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Default="00142B07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Pr="00401D51" w:rsidRDefault="00142B07">
            <w:pPr>
              <w:spacing w:after="0"/>
            </w:pPr>
            <w:r w:rsidRPr="00401D51">
              <w:t>Nájsť vzdelávaciu inštitúciu, ktorá realizuje kurz: Zakladanie a údr</w:t>
            </w:r>
            <w:bookmarkStart w:id="6" w:name="_GoBack"/>
            <w:bookmarkEnd w:id="6"/>
            <w:r w:rsidRPr="00401D51">
              <w:t>žba verejnej zelene/ zistiť podmienky zaradenia na kurz</w:t>
            </w:r>
          </w:p>
          <w:p w:rsidR="00CA5FCB" w:rsidRPr="00401D51" w:rsidRDefault="00CA5FCB">
            <w:pPr>
              <w:spacing w:after="0"/>
            </w:pPr>
          </w:p>
          <w:p w:rsidR="00CA5FCB" w:rsidRPr="00401D51" w:rsidRDefault="00142B07">
            <w:pPr>
              <w:spacing w:after="0"/>
            </w:pPr>
            <w:r w:rsidRPr="00401D51">
              <w:t xml:space="preserve">Sledovať ponuky voľných pracovných miest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A5FCB" w:rsidRPr="00401D51" w:rsidRDefault="00142B07">
            <w:pPr>
              <w:spacing w:after="0"/>
            </w:pPr>
            <w:r w:rsidRPr="00401D51">
              <w:t xml:space="preserve">Podať si požiadavku na úrade práce </w:t>
            </w:r>
          </w:p>
          <w:p w:rsidR="00CA5FCB" w:rsidRPr="00401D51" w:rsidRDefault="00CA5FCB">
            <w:pPr>
              <w:spacing w:after="0"/>
            </w:pPr>
          </w:p>
          <w:p w:rsidR="00CA5FCB" w:rsidRPr="00401D51" w:rsidRDefault="00CA5FCB">
            <w:pPr>
              <w:spacing w:after="0"/>
            </w:pPr>
          </w:p>
          <w:p w:rsidR="00CA5FCB" w:rsidRPr="00401D51" w:rsidRDefault="00142B07">
            <w:pPr>
              <w:spacing w:after="0"/>
            </w:pPr>
            <w:r w:rsidRPr="00401D51">
              <w:t>Mať aktuálny prehľad  o voľných pracovných miestach</w:t>
            </w:r>
          </w:p>
        </w:tc>
      </w:tr>
    </w:tbl>
    <w:p w:rsidR="00CA5FCB" w:rsidRDefault="00CD41EC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10.8pt;margin-top:39.65pt;width:545.25pt;height:12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">
            <v:textbox>
              <w:txbxContent>
                <w:p w:rsidR="00CA5FCB" w:rsidRDefault="00142B0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Vám pokračovať v sledovaní pracovných ponúk. Zvýšiť aktivity – osobne a písomne kontaktovať zamestnávateľov. Pravidelne si aktualizovať životopis. Uchádzať sa o pracovné miesto aj u zamestnávateľov, ktorí nemajú zverejnené voľné miesta.  Prijať prácu aj sezónne práce, práce vykonávané na základe </w:t>
                  </w:r>
                  <w:proofErr w:type="spellStart"/>
                  <w:r>
                    <w:rPr>
                      <w:i/>
                    </w:rPr>
                    <w:t>DoVP</w:t>
                  </w:r>
                  <w:proofErr w:type="spellEnd"/>
                  <w:r>
                    <w:rPr>
                      <w:i/>
                    </w:rPr>
                    <w:t xml:space="preserve">, aby bolo možné deklarovať prax. Absolvovať čo najviac pracovných pohovorov, aby sa Vám   zlepšila schopnosť ponúkať sa na trhu práce. Ďalej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vzhľadom na nízky stupeň  vzdelania absolvovať rekvalifikáciu, čo prispeje k zvýšeniu šance na zamestnanie.</w:t>
                  </w:r>
                </w:p>
              </w:txbxContent>
            </v:textbox>
            <w10:wrap type="square" anchorx="margin"/>
          </v:shape>
        </w:pict>
      </w:r>
      <w:r w:rsidR="00142B07">
        <w:rPr>
          <w:rFonts w:ascii="Calibri" w:hAnsi="Calibri"/>
          <w:sz w:val="32"/>
        </w:rPr>
        <w:t xml:space="preserve">8. </w:t>
      </w:r>
      <w:bookmarkEnd w:id="1"/>
      <w:r w:rsidR="00142B07">
        <w:rPr>
          <w:rFonts w:ascii="Calibri" w:hAnsi="Calibri"/>
          <w:sz w:val="32"/>
        </w:rPr>
        <w:t xml:space="preserve">Individualizované odporúčania pre DN </w:t>
      </w:r>
      <w:proofErr w:type="spellStart"/>
      <w:r w:rsidR="00142B07">
        <w:rPr>
          <w:rFonts w:ascii="Calibri" w:hAnsi="Calibri"/>
          <w:sz w:val="32"/>
        </w:rPr>
        <w:t>UoZ</w:t>
      </w:r>
      <w:proofErr w:type="spellEnd"/>
    </w:p>
    <w:p w:rsidR="00CA5FCB" w:rsidRDefault="00142B07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CA5FCB" w:rsidRDefault="00142B07">
      <w:r>
        <w:t>Zakladanie a údržba verejnej zelene</w:t>
      </w:r>
    </w:p>
    <w:p w:rsidR="00CA5FCB" w:rsidRDefault="00142B07">
      <w:r>
        <w:t>Odporúčané vzdelávanie: Zakladanie a údržba verejnej zelene</w:t>
      </w:r>
    </w:p>
    <w:sectPr w:rsidR="00CA5FCB" w:rsidSect="00CA5FCB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CB" w:rsidRDefault="00142B07">
      <w:pPr>
        <w:spacing w:after="0" w:line="240" w:lineRule="auto"/>
      </w:pPr>
      <w:r>
        <w:separator/>
      </w:r>
    </w:p>
  </w:endnote>
  <w:endnote w:type="continuationSeparator" w:id="0">
    <w:p w:rsidR="00CA5FCB" w:rsidRDefault="0014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FCB" w:rsidRDefault="00CA5FC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CA5FCB" w:rsidRDefault="00142B0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CA5FCB" w:rsidRDefault="00142B07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CA5FCB" w:rsidRDefault="00142B0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CB" w:rsidRDefault="00142B07">
      <w:pPr>
        <w:spacing w:after="0" w:line="240" w:lineRule="auto"/>
      </w:pPr>
      <w:r>
        <w:separator/>
      </w:r>
    </w:p>
  </w:footnote>
  <w:footnote w:type="continuationSeparator" w:id="0">
    <w:p w:rsidR="00CA5FCB" w:rsidRDefault="0014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FCB" w:rsidRDefault="00142B07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CA5FCB" w:rsidRDefault="00CA5FCB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55152"/>
    <w:multiLevelType w:val="hybridMultilevel"/>
    <w:tmpl w:val="A84856DC"/>
    <w:lvl w:ilvl="0" w:tplc="55D2E3C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71210"/>
    <w:multiLevelType w:val="hybridMultilevel"/>
    <w:tmpl w:val="9AAEB228"/>
    <w:lvl w:ilvl="0" w:tplc="7B9EBC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FCB"/>
    <w:rsid w:val="00142B07"/>
    <w:rsid w:val="00401D51"/>
    <w:rsid w:val="00793C93"/>
    <w:rsid w:val="00CA5FCB"/>
    <w:rsid w:val="00CD41EC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FCB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CA5FCB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CA5FC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CA5FCB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CA5FCB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CA5FCB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CA5FCB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CA5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A5FCB"/>
    <w:rPr>
      <w:rFonts w:cs="Times New Roman"/>
    </w:rPr>
  </w:style>
  <w:style w:type="paragraph" w:styleId="Pta">
    <w:name w:val="footer"/>
    <w:basedOn w:val="Normlny"/>
    <w:link w:val="PtaChar"/>
    <w:uiPriority w:val="99"/>
    <w:rsid w:val="00CA5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A5FCB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C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5FCB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CA5FCB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CA5FCB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CA5FCB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CA5FC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CA5FCB"/>
    <w:rPr>
      <w:lang w:eastAsia="en-US"/>
    </w:rPr>
  </w:style>
  <w:style w:type="paragraph" w:styleId="Odsekzoznamu">
    <w:name w:val="List Paragraph"/>
    <w:basedOn w:val="Normlny"/>
    <w:uiPriority w:val="99"/>
    <w:qFormat/>
    <w:rsid w:val="00CA5FCB"/>
    <w:pPr>
      <w:ind w:left="720"/>
    </w:pPr>
  </w:style>
  <w:style w:type="paragraph" w:styleId="Normlnywebov">
    <w:name w:val="Normal (Web)"/>
    <w:basedOn w:val="Normlny"/>
    <w:uiPriority w:val="99"/>
    <w:semiHidden/>
    <w:rsid w:val="00CA5F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CA5FC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718</Words>
  <Characters>4770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4</cp:revision>
  <cp:lastPrinted>2019-03-25T07:11:00Z</cp:lastPrinted>
  <dcterms:created xsi:type="dcterms:W3CDTF">2019-03-22T11:24:00Z</dcterms:created>
  <dcterms:modified xsi:type="dcterms:W3CDTF">2019-03-25T07:13:00Z</dcterms:modified>
</cp:coreProperties>
</file>