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02AC" w:rsidRPr="00342C89" w:rsidRDefault="00342C89">
      <w:pPr>
        <w:rPr>
          <w:sz w:val="24"/>
        </w:rPr>
      </w:pPr>
      <w:r w:rsidRPr="00342C89">
        <w:rPr>
          <w:b/>
          <w:sz w:val="24"/>
        </w:rPr>
        <w:t>Tabuľka</w:t>
      </w:r>
      <w:r w:rsidRPr="00342C89">
        <w:rPr>
          <w:sz w:val="24"/>
        </w:rPr>
        <w:t xml:space="preserve"> Počet rezistentných </w:t>
      </w:r>
      <w:proofErr w:type="spellStart"/>
      <w:r w:rsidRPr="00342C89">
        <w:rPr>
          <w:sz w:val="24"/>
        </w:rPr>
        <w:t>izolátov</w:t>
      </w:r>
      <w:proofErr w:type="spellEnd"/>
      <w:r w:rsidRPr="00342C89">
        <w:rPr>
          <w:sz w:val="24"/>
        </w:rPr>
        <w:t xml:space="preserve"> na jednotlivé antibiotiká zo všetkých skúmaných platidiel</w:t>
      </w:r>
    </w:p>
    <w:tbl>
      <w:tblPr>
        <w:tblW w:w="766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00"/>
        <w:gridCol w:w="960"/>
        <w:gridCol w:w="960"/>
        <w:gridCol w:w="960"/>
        <w:gridCol w:w="978"/>
        <w:gridCol w:w="960"/>
        <w:gridCol w:w="978"/>
      </w:tblGrid>
      <w:tr w:rsidR="00342C89" w:rsidRPr="00342C89" w:rsidTr="00342C89">
        <w:trPr>
          <w:trHeight w:val="315"/>
          <w:jc w:val="center"/>
        </w:trPr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190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> </w:t>
            </w:r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Počet rezistentných </w:t>
            </w:r>
            <w:proofErr w:type="spellStart"/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>izolátov</w:t>
            </w:r>
            <w:proofErr w:type="spellEnd"/>
          </w:p>
        </w:tc>
        <w:tc>
          <w:tcPr>
            <w:tcW w:w="2880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 xml:space="preserve">Percentuálne vyjadrenie </w:t>
            </w: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proofErr w:type="spellStart"/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>Ampicilín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29,16%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30%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28,33%</w:t>
            </w: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proofErr w:type="spellStart"/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>Kanamycín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noProof/>
                <w:sz w:val="28"/>
                <w:lang w:eastAsia="sk-SK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AB478CC" wp14:editId="688AEC7E">
                      <wp:simplePos x="0" y="0"/>
                      <wp:positionH relativeFrom="column">
                        <wp:posOffset>306705</wp:posOffset>
                      </wp:positionH>
                      <wp:positionV relativeFrom="paragraph">
                        <wp:posOffset>192405</wp:posOffset>
                      </wp:positionV>
                      <wp:extent cx="285750" cy="247650"/>
                      <wp:effectExtent l="0" t="0" r="19050" b="19050"/>
                      <wp:wrapNone/>
                      <wp:docPr id="2" name="Ovál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247650"/>
                              </a:xfrm>
                              <a:prstGeom prst="ellipse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vertOverflow="clip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ál 1" o:spid="_x0000_s1026" style="position:absolute;margin-left:24.15pt;margin-top:15.15pt;width:22.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" filled="f" strokecolor="red" strokeweight="2pt"/>
                  </w:pict>
                </mc:Fallback>
              </mc:AlternateContent>
            </w: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27,50%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25%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30%</w:t>
            </w: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>Tetracyklín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62,50%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70%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55%</w:t>
            </w:r>
          </w:p>
        </w:tc>
      </w:tr>
      <w:tr w:rsidR="00342C89" w:rsidRPr="00342C89" w:rsidTr="00342C89">
        <w:trPr>
          <w:trHeight w:val="315"/>
          <w:jc w:val="center"/>
        </w:trPr>
        <w:tc>
          <w:tcPr>
            <w:tcW w:w="190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sk-SK"/>
              </w:rPr>
            </w:pPr>
            <w:proofErr w:type="spellStart"/>
            <w:r w:rsidRPr="00342C89">
              <w:rPr>
                <w:rFonts w:ascii="Calibri" w:eastAsia="Times New Roman" w:hAnsi="Calibri" w:cs="Times New Roman"/>
                <w:color w:val="000000"/>
                <w:lang w:eastAsia="sk-SK"/>
              </w:rPr>
              <w:t>Chloramfenikol</w:t>
            </w:r>
            <w:proofErr w:type="spellEnd"/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16,66%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10%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481A5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23,33%</w:t>
            </w:r>
          </w:p>
        </w:tc>
      </w:tr>
    </w:tbl>
    <w:p w:rsidR="00342C89" w:rsidRDefault="00342C89"/>
    <w:p w:rsidR="00342C89" w:rsidRDefault="00342C89"/>
    <w:p w:rsidR="00342C89" w:rsidRDefault="00342C89">
      <w:r>
        <w:rPr>
          <w:noProof/>
          <w:lang w:eastAsia="sk-SK"/>
        </w:rPr>
        <w:drawing>
          <wp:inline distT="0" distB="0" distL="0" distR="0" wp14:anchorId="424924EC" wp14:editId="230DB4BC">
            <wp:extent cx="5760720" cy="3174337"/>
            <wp:effectExtent l="0" t="0" r="11430" b="26670"/>
            <wp:docPr id="1" name="Graf 1">
              <a:extLst xmlns:a="http://schemas.openxmlformats.org/drawingml/2006/main">
                <a:ext uri="{FF2B5EF4-FFF2-40B4-BE49-F238E27FC236}">
                  <a16:creationId xmlns="" xmlns:xdr="http://schemas.openxmlformats.org/drawingml/2006/spreadsheetDrawing" xmlns:a16="http://schemas.microsoft.com/office/drawing/2014/main" xmlns:lc="http://schemas.openxmlformats.org/drawingml/2006/lockedCanvas" id="{18D5F91A-4355-434F-8A22-31BEC68E62F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342C89" w:rsidRDefault="00342C89" w:rsidP="00342C89">
      <w:r w:rsidRPr="00342C89">
        <w:rPr>
          <w:b/>
        </w:rPr>
        <w:t xml:space="preserve">Graf </w:t>
      </w:r>
      <w:r>
        <w:t>Grafické znázornenie p</w:t>
      </w:r>
      <w:r>
        <w:t>očt</w:t>
      </w:r>
      <w:r>
        <w:t>u</w:t>
      </w:r>
      <w:r>
        <w:t xml:space="preserve"> rezistentných </w:t>
      </w:r>
      <w:proofErr w:type="spellStart"/>
      <w:r>
        <w:t>izolátov</w:t>
      </w:r>
      <w:proofErr w:type="spellEnd"/>
      <w:r>
        <w:t xml:space="preserve"> </w:t>
      </w:r>
      <w:r>
        <w:t xml:space="preserve">na </w:t>
      </w:r>
      <w:r>
        <w:t>antibiotiká zo všetkých skúmaných platidiel</w:t>
      </w:r>
    </w:p>
    <w:p w:rsidR="00342C89" w:rsidRDefault="00342C89"/>
    <w:p w:rsidR="00342C89" w:rsidRPr="00342C89" w:rsidRDefault="00342C89" w:rsidP="00342C89">
      <w:pPr>
        <w:rPr>
          <w:sz w:val="24"/>
        </w:rPr>
      </w:pPr>
      <w:r w:rsidRPr="00342C89">
        <w:rPr>
          <w:b/>
          <w:sz w:val="24"/>
        </w:rPr>
        <w:t>Tabuľka</w:t>
      </w:r>
      <w:r w:rsidRPr="00342C89">
        <w:rPr>
          <w:sz w:val="24"/>
        </w:rPr>
        <w:t xml:space="preserve"> Počet rezistentných </w:t>
      </w:r>
      <w:proofErr w:type="spellStart"/>
      <w:r w:rsidRPr="00342C89">
        <w:rPr>
          <w:sz w:val="24"/>
        </w:rPr>
        <w:t>izolátov</w:t>
      </w:r>
      <w:proofErr w:type="spellEnd"/>
      <w:r w:rsidRPr="00342C89">
        <w:rPr>
          <w:sz w:val="24"/>
        </w:rPr>
        <w:t xml:space="preserve"> na jednotlivé antibiotiká </w:t>
      </w:r>
      <w:r w:rsidRPr="00342C89">
        <w:rPr>
          <w:sz w:val="24"/>
        </w:rPr>
        <w:t>s rozlíšením na bankovky a mince</w:t>
      </w:r>
    </w:p>
    <w:tbl>
      <w:tblPr>
        <w:tblW w:w="7720" w:type="dxa"/>
        <w:jc w:val="center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860"/>
        <w:gridCol w:w="2600"/>
        <w:gridCol w:w="2260"/>
      </w:tblGrid>
      <w:tr w:rsidR="00342C89" w:rsidRPr="00342C89" w:rsidTr="00342C89">
        <w:trPr>
          <w:trHeight w:val="300"/>
          <w:jc w:val="center"/>
        </w:trPr>
        <w:tc>
          <w:tcPr>
            <w:tcW w:w="28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Počet rezistentných antibiotík</w:t>
            </w:r>
          </w:p>
        </w:tc>
        <w:tc>
          <w:tcPr>
            <w:tcW w:w="260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 </w:t>
            </w:r>
          </w:p>
        </w:tc>
        <w:tc>
          <w:tcPr>
            <w:tcW w:w="22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 </w:t>
            </w: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 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 xml:space="preserve">Počet </w:t>
            </w:r>
            <w:proofErr w:type="spellStart"/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izolátov</w:t>
            </w:r>
            <w:proofErr w:type="spellEnd"/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 xml:space="preserve"> z bankoviek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 xml:space="preserve">Počet </w:t>
            </w:r>
            <w:proofErr w:type="spellStart"/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izo</w:t>
            </w:r>
            <w:r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l</w:t>
            </w:r>
            <w:bookmarkStart w:id="0" w:name="_GoBack"/>
            <w:bookmarkEnd w:id="0"/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>átov</w:t>
            </w:r>
            <w:proofErr w:type="spellEnd"/>
            <w:r w:rsidRPr="00342C89">
              <w:rPr>
                <w:rFonts w:ascii="Calibri" w:eastAsia="Times New Roman" w:hAnsi="Calibri" w:cs="Times New Roman"/>
                <w:b/>
                <w:color w:val="000000"/>
                <w:lang w:eastAsia="sk-SK"/>
              </w:rPr>
              <w:t xml:space="preserve"> z mincí</w:t>
            </w: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  <w:t>1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27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22</w:t>
            </w: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  <w:t>2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21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26</w:t>
            </w:r>
          </w:p>
        </w:tc>
      </w:tr>
      <w:tr w:rsidR="00342C89" w:rsidRPr="00342C89" w:rsidTr="00342C89">
        <w:trPr>
          <w:trHeight w:val="300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  <w:t>3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3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</w:t>
            </w:r>
          </w:p>
        </w:tc>
      </w:tr>
      <w:tr w:rsidR="00342C89" w:rsidRPr="00342C89" w:rsidTr="00342C89">
        <w:trPr>
          <w:trHeight w:val="315"/>
          <w:jc w:val="center"/>
        </w:trPr>
        <w:tc>
          <w:tcPr>
            <w:tcW w:w="286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b/>
                <w:color w:val="000000"/>
                <w:sz w:val="24"/>
                <w:lang w:eastAsia="sk-SK"/>
              </w:rPr>
              <w:t>4</w:t>
            </w:r>
          </w:p>
        </w:tc>
        <w:tc>
          <w:tcPr>
            <w:tcW w:w="26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0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342C89" w:rsidRPr="00342C89" w:rsidRDefault="00342C89" w:rsidP="00342C89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</w:pPr>
            <w:r w:rsidRPr="00342C89">
              <w:rPr>
                <w:rFonts w:ascii="Calibri" w:eastAsia="Times New Roman" w:hAnsi="Calibri" w:cs="Times New Roman"/>
                <w:color w:val="000000"/>
                <w:sz w:val="28"/>
                <w:lang w:eastAsia="sk-SK"/>
              </w:rPr>
              <w:t>1</w:t>
            </w:r>
          </w:p>
        </w:tc>
      </w:tr>
    </w:tbl>
    <w:p w:rsidR="00342C89" w:rsidRDefault="00342C89"/>
    <w:sectPr w:rsidR="00342C89" w:rsidSect="00342C89">
      <w:pgSz w:w="11906" w:h="16838"/>
      <w:pgMar w:top="1417" w:right="849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1F95"/>
    <w:rsid w:val="001502AC"/>
    <w:rsid w:val="00342C89"/>
    <w:rsid w:val="00C61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2C8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42C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42C8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338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1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chartUserShapes" Target="../drawings/drawing1.xml"/><Relationship Id="rId1" Type="http://schemas.openxmlformats.org/officeDocument/2006/relationships/oleObject" Target="file:///C:\Users\Guest.T-SYSTEMS03.087\AppData\Local\Temp\mince%20a%20bankovky%20rez.-1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sk-SK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0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sk-SK"/>
              <a:t>Počet rezistentných izolátov na</a:t>
            </a:r>
            <a:r>
              <a:rPr lang="sk-SK" baseline="0"/>
              <a:t> jednotlivé ANTIBIOTIKÁ</a:t>
            </a:r>
            <a:endParaRPr lang="en-US"/>
          </a:p>
        </c:rich>
      </c:tx>
      <c:layout>
        <c:manualLayout>
          <c:xMode val="edge"/>
          <c:yMode val="edge"/>
          <c:x val="0.19344343940478514"/>
          <c:y val="2.4009603841536616E-2"/>
        </c:manualLayout>
      </c:layout>
      <c:overlay val="0"/>
      <c:spPr>
        <a:noFill/>
        <a:ln>
          <a:noFill/>
        </a:ln>
        <a:effectLst/>
      </c:sp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standard"/>
        <c:varyColors val="0"/>
        <c:ser>
          <c:idx val="0"/>
          <c:order val="0"/>
          <c:tx>
            <c:strRef>
              <c:f>'[mince a bankovky rez.-1.xlsx]Hárok2'!$A$5</c:f>
              <c:strCache>
                <c:ptCount val="1"/>
                <c:pt idx="0">
                  <c:v>Ampicilín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'[mince a bankovky rez.-1.xlsx]Hárok2'!$B$4:$G$4</c:f>
              <c:strCache>
                <c:ptCount val="4"/>
                <c:pt idx="0">
                  <c:v>Počet rezistentných izolátov</c:v>
                </c:pt>
                <c:pt idx="3">
                  <c:v>Percentuálne vyjadrenie </c:v>
                </c:pt>
              </c:strCache>
            </c:strRef>
          </c:cat>
          <c:val>
            <c:numRef>
              <c:f>'[mince a bankovky rez.-1.xlsx]Hárok2'!$B$5:$G$5</c:f>
              <c:numCache>
                <c:formatCode>General</c:formatCode>
                <c:ptCount val="6"/>
                <c:pt idx="0">
                  <c:v>35</c:v>
                </c:pt>
                <c:pt idx="1">
                  <c:v>18</c:v>
                </c:pt>
                <c:pt idx="2">
                  <c:v>17</c:v>
                </c:pt>
                <c:pt idx="3" formatCode="0.00%">
                  <c:v>0.29160000000000003</c:v>
                </c:pt>
                <c:pt idx="4" formatCode="0%">
                  <c:v>0.3</c:v>
                </c:pt>
                <c:pt idx="5" formatCode="0.00%">
                  <c:v>0.2833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0-0940-491C-A137-E26107FD072F}"/>
            </c:ext>
          </c:extLst>
        </c:ser>
        <c:ser>
          <c:idx val="1"/>
          <c:order val="1"/>
          <c:tx>
            <c:strRef>
              <c:f>'[mince a bankovky rez.-1.xlsx]Hárok2'!$A$6</c:f>
              <c:strCache>
                <c:ptCount val="1"/>
                <c:pt idx="0">
                  <c:v>Kanamycín</c:v>
                </c:pt>
              </c:strCache>
            </c:strRef>
          </c:tx>
          <c:spPr>
            <a:solidFill>
              <a:schemeClr val="accent2">
                <a:alpha val="88000"/>
              </a:schemeClr>
            </a:solidFill>
            <a:ln>
              <a:solidFill>
                <a:schemeClr val="accent2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2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2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'[mince a bankovky rez.-1.xlsx]Hárok2'!$B$4:$G$4</c:f>
              <c:strCache>
                <c:ptCount val="4"/>
                <c:pt idx="0">
                  <c:v>Počet rezistentných izolátov</c:v>
                </c:pt>
                <c:pt idx="3">
                  <c:v>Percentuálne vyjadrenie </c:v>
                </c:pt>
              </c:strCache>
            </c:strRef>
          </c:cat>
          <c:val>
            <c:numRef>
              <c:f>'[mince a bankovky rez.-1.xlsx]Hárok2'!$B$6:$G$6</c:f>
              <c:numCache>
                <c:formatCode>General</c:formatCode>
                <c:ptCount val="6"/>
                <c:pt idx="0">
                  <c:v>33</c:v>
                </c:pt>
                <c:pt idx="1">
                  <c:v>15</c:v>
                </c:pt>
                <c:pt idx="2">
                  <c:v>18</c:v>
                </c:pt>
                <c:pt idx="3" formatCode="0.00%">
                  <c:v>0.27500000000000002</c:v>
                </c:pt>
                <c:pt idx="4" formatCode="0%">
                  <c:v>0.25</c:v>
                </c:pt>
                <c:pt idx="5" formatCode="0%">
                  <c:v>0.3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1-0940-491C-A137-E26107FD072F}"/>
            </c:ext>
          </c:extLst>
        </c:ser>
        <c:ser>
          <c:idx val="2"/>
          <c:order val="2"/>
          <c:tx>
            <c:strRef>
              <c:f>'[mince a bankovky rez.-1.xlsx]Hárok2'!$A$7</c:f>
              <c:strCache>
                <c:ptCount val="1"/>
                <c:pt idx="0">
                  <c:v>Tetracyklín</c:v>
                </c:pt>
              </c:strCache>
            </c:strRef>
          </c:tx>
          <c:spPr>
            <a:solidFill>
              <a:schemeClr val="accent3">
                <a:alpha val="88000"/>
              </a:schemeClr>
            </a:solidFill>
            <a:ln>
              <a:solidFill>
                <a:schemeClr val="accent3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3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3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'[mince a bankovky rez.-1.xlsx]Hárok2'!$B$4:$G$4</c:f>
              <c:strCache>
                <c:ptCount val="4"/>
                <c:pt idx="0">
                  <c:v>Počet rezistentných izolátov</c:v>
                </c:pt>
                <c:pt idx="3">
                  <c:v>Percentuálne vyjadrenie </c:v>
                </c:pt>
              </c:strCache>
            </c:strRef>
          </c:cat>
          <c:val>
            <c:numRef>
              <c:f>'[mince a bankovky rez.-1.xlsx]Hárok2'!$B$7:$G$7</c:f>
              <c:numCache>
                <c:formatCode>General</c:formatCode>
                <c:ptCount val="6"/>
                <c:pt idx="0">
                  <c:v>75</c:v>
                </c:pt>
                <c:pt idx="1">
                  <c:v>42</c:v>
                </c:pt>
                <c:pt idx="2">
                  <c:v>33</c:v>
                </c:pt>
                <c:pt idx="3" formatCode="0.00%">
                  <c:v>0.625</c:v>
                </c:pt>
                <c:pt idx="4" formatCode="0%">
                  <c:v>0.7</c:v>
                </c:pt>
                <c:pt idx="5" formatCode="0%">
                  <c:v>0.55000000000000004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2-0940-491C-A137-E26107FD072F}"/>
            </c:ext>
          </c:extLst>
        </c:ser>
        <c:ser>
          <c:idx val="3"/>
          <c:order val="3"/>
          <c:tx>
            <c:strRef>
              <c:f>'[mince a bankovky rez.-1.xlsx]Hárok2'!$A$8</c:f>
              <c:strCache>
                <c:ptCount val="1"/>
                <c:pt idx="0">
                  <c:v>Chloramfenikol</c:v>
                </c:pt>
              </c:strCache>
            </c:strRef>
          </c:tx>
          <c:spPr>
            <a:solidFill>
              <a:schemeClr val="accent4">
                <a:alpha val="88000"/>
              </a:schemeClr>
            </a:solidFill>
            <a:ln>
              <a:solidFill>
                <a:schemeClr val="accent4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4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4">
                  <a:alpha val="30000"/>
                </a:schemeClr>
              </a:solidFill>
              <a:ln>
                <a:solidFill>
                  <a:schemeClr val="lt1">
                    <a:alpha val="50000"/>
                  </a:schemeClr>
                </a:solidFill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sk-SK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 xmlns:c16r2="http://schemas.microsoft.com/office/drawing/2015/06/chart"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'[mince a bankovky rez.-1.xlsx]Hárok2'!$B$4:$G$4</c:f>
              <c:strCache>
                <c:ptCount val="4"/>
                <c:pt idx="0">
                  <c:v>Počet rezistentných izolátov</c:v>
                </c:pt>
                <c:pt idx="3">
                  <c:v>Percentuálne vyjadrenie </c:v>
                </c:pt>
              </c:strCache>
            </c:strRef>
          </c:cat>
          <c:val>
            <c:numRef>
              <c:f>'[mince a bankovky rez.-1.xlsx]Hárok2'!$B$8:$G$8</c:f>
              <c:numCache>
                <c:formatCode>General</c:formatCode>
                <c:ptCount val="6"/>
                <c:pt idx="0">
                  <c:v>20</c:v>
                </c:pt>
                <c:pt idx="1">
                  <c:v>6</c:v>
                </c:pt>
                <c:pt idx="2">
                  <c:v>14</c:v>
                </c:pt>
                <c:pt idx="3" formatCode="0.00%">
                  <c:v>0.1666</c:v>
                </c:pt>
                <c:pt idx="4" formatCode="0%">
                  <c:v>0.1</c:v>
                </c:pt>
                <c:pt idx="5" formatCode="0.00%">
                  <c:v>0.23330000000000001</c:v>
                </c:pt>
              </c:numCache>
            </c:numRef>
          </c:val>
          <c:extLst xmlns:c16r2="http://schemas.microsoft.com/office/drawing/2015/06/chart">
            <c:ext xmlns:c16="http://schemas.microsoft.com/office/drawing/2014/chart" uri="{C3380CC4-5D6E-409C-BE32-E72D297353CC}">
              <c16:uniqueId val="{00000003-0940-491C-A137-E26107FD072F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82449920"/>
        <c:axId val="82451456"/>
        <c:axId val="84959232"/>
      </c:bar3DChart>
      <c:catAx>
        <c:axId val="8244992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2451456"/>
        <c:crosses val="autoZero"/>
        <c:auto val="1"/>
        <c:lblAlgn val="ctr"/>
        <c:lblOffset val="100"/>
        <c:noMultiLvlLbl val="0"/>
      </c:catAx>
      <c:valAx>
        <c:axId val="82451456"/>
        <c:scaling>
          <c:orientation val="minMax"/>
        </c:scaling>
        <c:delete val="1"/>
        <c:axPos val="l"/>
        <c:numFmt formatCode="General" sourceLinked="1"/>
        <c:majorTickMark val="out"/>
        <c:minorTickMark val="none"/>
        <c:tickLblPos val="nextTo"/>
        <c:crossAx val="82449920"/>
        <c:crosses val="autoZero"/>
        <c:crossBetween val="between"/>
      </c:valAx>
      <c:serAx>
        <c:axId val="84959232"/>
        <c:scaling>
          <c:orientation val="minMax"/>
        </c:scaling>
        <c:delete val="0"/>
        <c:axPos val="b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k-SK"/>
          </a:p>
        </c:txPr>
        <c:crossAx val="82451456"/>
        <c:crosses val="autoZero"/>
      </c:ser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5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sk-SK"/>
        </a:p>
      </c:txPr>
    </c:legend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dk1">
        <a:lumMod val="75000"/>
        <a:lumOff val="2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sk-SK"/>
    </a:p>
  </c:txPr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0.13393</cdr:x>
      <cdr:y>0.30912</cdr:y>
    </cdr:from>
    <cdr:to>
      <cdr:x>0.27778</cdr:x>
      <cdr:y>0.52821</cdr:y>
    </cdr:to>
    <cdr:sp macro="" textlink="">
      <cdr:nvSpPr>
        <cdr:cNvPr id="2" name="Ovál 1"/>
        <cdr:cNvSpPr/>
      </cdr:nvSpPr>
      <cdr:spPr>
        <a:xfrm xmlns:a="http://schemas.openxmlformats.org/drawingml/2006/main">
          <a:off x="771525" y="981075"/>
          <a:ext cx="828676" cy="695324"/>
        </a:xfrm>
        <a:prstGeom xmlns:a="http://schemas.openxmlformats.org/drawingml/2006/main" prst="ellipse">
          <a:avLst/>
        </a:prstGeom>
        <a:noFill xmlns:a="http://schemas.openxmlformats.org/drawingml/2006/main"/>
        <a:ln xmlns:a="http://schemas.openxmlformats.org/drawingml/2006/main">
          <a:solidFill>
            <a:srgbClr val="FF0000"/>
          </a:solidFill>
        </a:ln>
      </cdr:spPr>
      <cdr:style>
        <a:lnRef xmlns:a="http://schemas.openxmlformats.org/drawingml/2006/main" idx="2">
          <a:schemeClr val="accent1">
            <a:shade val="50000"/>
          </a:schemeClr>
        </a:lnRef>
        <a:fillRef xmlns:a="http://schemas.openxmlformats.org/drawingml/2006/main" idx="1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lt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sk-SK"/>
        </a:p>
      </cdr:txBody>
    </cdr:sp>
  </cdr:relSizeAnchor>
</c:userShape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95</Words>
  <Characters>543</Characters>
  <Application>Microsoft Office Word</Application>
  <DocSecurity>0</DocSecurity>
  <Lines>4</Lines>
  <Paragraphs>1</Paragraphs>
  <ScaleCrop>false</ScaleCrop>
  <Company>Gymnázium Gelnica</Company>
  <LinksUpToDate>false</LinksUpToDate>
  <CharactersWithSpaces>637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2018-04-17T07:21:00Z</dcterms:created>
  <dcterms:modified xsi:type="dcterms:W3CDTF">2018-04-17T07:30:00Z</dcterms:modified>
</cp:coreProperties>
</file>