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8EDB" w14:textId="7396CE29" w:rsidR="005808A0" w:rsidRPr="009E5C6A" w:rsidRDefault="005808A0" w:rsidP="005808A0">
      <w:pPr>
        <w:pStyle w:val="Nzov"/>
        <w:jc w:val="center"/>
        <w:rPr>
          <w:rFonts w:ascii="Cambria" w:hAnsi="Cambria" w:cstheme="minorHAnsi"/>
        </w:rPr>
      </w:pPr>
      <w:r w:rsidRPr="009E5C6A">
        <w:rPr>
          <w:rFonts w:ascii="Cambria" w:hAnsi="Cambria" w:cstheme="minorHAnsi"/>
        </w:rPr>
        <w:t xml:space="preserve">Laboratórne cvičenie č. </w:t>
      </w:r>
      <w:r>
        <w:rPr>
          <w:rFonts w:ascii="Cambria" w:hAnsi="Cambria" w:cstheme="minorHAnsi"/>
        </w:rPr>
        <w:t>10</w:t>
      </w:r>
    </w:p>
    <w:p w14:paraId="2FD30D40" w14:textId="77777777" w:rsidR="005808A0" w:rsidRPr="009E5C6A" w:rsidRDefault="005808A0" w:rsidP="005808A0">
      <w:pPr>
        <w:pStyle w:val="Bezriadkovania"/>
        <w:rPr>
          <w:rFonts w:cstheme="minorHAnsi"/>
          <w:b/>
        </w:rPr>
      </w:pPr>
    </w:p>
    <w:p w14:paraId="4EB011BD" w14:textId="77777777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Vypracoval:</w:t>
      </w:r>
      <w:r w:rsidRPr="009E5C6A">
        <w:rPr>
          <w:rFonts w:cstheme="minorHAnsi"/>
          <w:sz w:val="24"/>
          <w:szCs w:val="24"/>
        </w:rPr>
        <w:t xml:space="preserve"> Samuel Nalevanko</w:t>
      </w:r>
    </w:p>
    <w:p w14:paraId="53A5500F" w14:textId="77777777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Odbor:</w:t>
      </w:r>
      <w:r w:rsidRPr="009E5C6A">
        <w:rPr>
          <w:rFonts w:cstheme="minorHAnsi"/>
          <w:sz w:val="24"/>
          <w:szCs w:val="24"/>
        </w:rPr>
        <w:t xml:space="preserve"> 2FBb</w:t>
      </w:r>
    </w:p>
    <w:p w14:paraId="07FD2578" w14:textId="77777777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Školský rok:</w:t>
      </w:r>
      <w:r w:rsidRPr="009E5C6A">
        <w:rPr>
          <w:rFonts w:cstheme="minorHAnsi"/>
          <w:sz w:val="24"/>
          <w:szCs w:val="24"/>
        </w:rPr>
        <w:t xml:space="preserve"> 2018/19</w:t>
      </w:r>
    </w:p>
    <w:p w14:paraId="15933427" w14:textId="77777777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Predmet: </w:t>
      </w:r>
      <w:r w:rsidRPr="009E5C6A">
        <w:rPr>
          <w:rFonts w:cstheme="minorHAnsi"/>
          <w:sz w:val="24"/>
          <w:szCs w:val="24"/>
        </w:rPr>
        <w:t>Fyziológia rastlín</w:t>
      </w:r>
    </w:p>
    <w:p w14:paraId="4B44818D" w14:textId="77777777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Cvičia</w:t>
      </w:r>
      <w:r w:rsidRPr="009E5C6A">
        <w:rPr>
          <w:rFonts w:cstheme="minorHAnsi"/>
          <w:b/>
          <w:sz w:val="24"/>
          <w:szCs w:val="24"/>
        </w:rPr>
        <w:t>ci</w:t>
      </w:r>
      <w:r w:rsidRPr="009E5C6A">
        <w:rPr>
          <w:rFonts w:cstheme="minorHAnsi"/>
          <w:sz w:val="24"/>
          <w:szCs w:val="24"/>
        </w:rPr>
        <w:t xml:space="preserve">: RNDr. Michal </w:t>
      </w:r>
      <w:proofErr w:type="spellStart"/>
      <w:r w:rsidRPr="009E5C6A">
        <w:rPr>
          <w:rFonts w:cstheme="minorHAnsi"/>
          <w:sz w:val="24"/>
          <w:szCs w:val="24"/>
        </w:rPr>
        <w:t>Goga</w:t>
      </w:r>
      <w:proofErr w:type="spellEnd"/>
      <w:r w:rsidRPr="009E5C6A">
        <w:rPr>
          <w:rFonts w:cstheme="minorHAnsi"/>
          <w:sz w:val="24"/>
          <w:szCs w:val="24"/>
        </w:rPr>
        <w:t>, PhD.</w:t>
      </w:r>
    </w:p>
    <w:p w14:paraId="1E2ADFB5" w14:textId="6E58131D" w:rsidR="005808A0" w:rsidRPr="009E5C6A" w:rsidRDefault="005808A0" w:rsidP="005808A0">
      <w:pPr>
        <w:pStyle w:val="Bezriadkovania"/>
        <w:rPr>
          <w:rFonts w:cstheme="minorHAnsi"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>Cvičenie dňa: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2. 5. 2019</w:t>
      </w:r>
    </w:p>
    <w:p w14:paraId="23925FDA" w14:textId="3E068D9E" w:rsidR="00B73C90" w:rsidRDefault="005808A0" w:rsidP="005808A0">
      <w:pPr>
        <w:rPr>
          <w:rFonts w:cstheme="minorHAnsi"/>
          <w:b/>
          <w:sz w:val="24"/>
          <w:szCs w:val="24"/>
        </w:rPr>
      </w:pPr>
      <w:r w:rsidRPr="009E5C6A">
        <w:rPr>
          <w:rFonts w:cstheme="minorHAnsi"/>
          <w:b/>
          <w:sz w:val="24"/>
          <w:szCs w:val="24"/>
        </w:rPr>
        <w:t xml:space="preserve">Názov </w:t>
      </w:r>
      <w:r>
        <w:rPr>
          <w:rFonts w:cstheme="minorHAnsi"/>
          <w:b/>
          <w:sz w:val="24"/>
          <w:szCs w:val="24"/>
        </w:rPr>
        <w:t>témy</w:t>
      </w:r>
      <w:r w:rsidRPr="009E5C6A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Fotosyntetické pigmenty, sacharidy, chromatografia</w:t>
      </w:r>
    </w:p>
    <w:p w14:paraId="1E7D8307" w14:textId="77777777" w:rsidR="005808A0" w:rsidRDefault="005808A0" w:rsidP="005808A0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 w:rsidRPr="009E5C6A">
        <w:rPr>
          <w:rFonts w:ascii="Cambria" w:hAnsi="Cambria" w:cstheme="minorHAnsi"/>
          <w:b/>
          <w:sz w:val="28"/>
          <w:szCs w:val="28"/>
        </w:rPr>
        <w:t>Úlohy:</w:t>
      </w:r>
    </w:p>
    <w:p w14:paraId="501854EC" w14:textId="7594AFAC" w:rsidR="005808A0" w:rsidRPr="009E5C6A" w:rsidRDefault="007364BA" w:rsidP="005808A0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A.) </w:t>
      </w:r>
      <w:r w:rsidR="00BD665B">
        <w:rPr>
          <w:rFonts w:ascii="Cambria" w:hAnsi="Cambria" w:cstheme="minorHAnsi"/>
          <w:b/>
          <w:sz w:val="28"/>
          <w:szCs w:val="28"/>
        </w:rPr>
        <w:t>Stanovenie sacharidov v rastlinných plodoch metódou HPLC</w:t>
      </w:r>
    </w:p>
    <w:p w14:paraId="6B14A0E5" w14:textId="75FFE1F5" w:rsidR="005808A0" w:rsidRPr="007364BA" w:rsidRDefault="005808A0" w:rsidP="007364BA">
      <w:pPr>
        <w:pStyle w:val="Bezriadkovania"/>
        <w:jc w:val="both"/>
        <w:rPr>
          <w:sz w:val="24"/>
          <w:szCs w:val="24"/>
        </w:rPr>
      </w:pPr>
      <w:r w:rsidRPr="0010076D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 xml:space="preserve">V rastlinných plodoch sa akumulujú </w:t>
      </w:r>
      <w:proofErr w:type="spellStart"/>
      <w:r w:rsidR="007364BA" w:rsidRPr="007364BA">
        <w:rPr>
          <w:sz w:val="24"/>
          <w:szCs w:val="24"/>
        </w:rPr>
        <w:t>mono</w:t>
      </w:r>
      <w:proofErr w:type="spellEnd"/>
      <w:r w:rsidR="007364BA" w:rsidRPr="007364BA">
        <w:rPr>
          <w:sz w:val="24"/>
          <w:szCs w:val="24"/>
        </w:rPr>
        <w:t>- a oligosacharidy. Pomocou</w:t>
      </w:r>
      <w:r w:rsidR="007364BA">
        <w:rPr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>vysokoúčinnej kvapalinovej chromatografie rozdelíme sacharidy na jednotlivé látky, ktoré</w:t>
      </w:r>
      <w:r w:rsidR="007364BA">
        <w:rPr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 xml:space="preserve">pomocou </w:t>
      </w:r>
      <w:proofErr w:type="spellStart"/>
      <w:r w:rsidR="007364BA" w:rsidRPr="007364BA">
        <w:rPr>
          <w:sz w:val="24"/>
          <w:szCs w:val="24"/>
        </w:rPr>
        <w:t>refraktometrického</w:t>
      </w:r>
      <w:proofErr w:type="spellEnd"/>
      <w:r w:rsidR="007364BA" w:rsidRPr="007364BA">
        <w:rPr>
          <w:sz w:val="24"/>
          <w:szCs w:val="24"/>
        </w:rPr>
        <w:t xml:space="preserve"> detektora identifikujeme ako samostatné </w:t>
      </w:r>
      <w:proofErr w:type="spellStart"/>
      <w:r w:rsidR="007364BA" w:rsidRPr="007364BA">
        <w:rPr>
          <w:sz w:val="24"/>
          <w:szCs w:val="24"/>
        </w:rPr>
        <w:t>píky</w:t>
      </w:r>
      <w:proofErr w:type="spellEnd"/>
      <w:r w:rsidR="007364BA" w:rsidRPr="007364BA">
        <w:rPr>
          <w:sz w:val="24"/>
          <w:szCs w:val="24"/>
        </w:rPr>
        <w:t xml:space="preserve">. Veľkosť </w:t>
      </w:r>
      <w:proofErr w:type="spellStart"/>
      <w:r w:rsidR="007364BA" w:rsidRPr="007364BA">
        <w:rPr>
          <w:sz w:val="24"/>
          <w:szCs w:val="24"/>
        </w:rPr>
        <w:t>píku</w:t>
      </w:r>
      <w:proofErr w:type="spellEnd"/>
      <w:r w:rsidR="007364BA" w:rsidRPr="007364BA">
        <w:rPr>
          <w:sz w:val="24"/>
          <w:szCs w:val="24"/>
        </w:rPr>
        <w:t xml:space="preserve"> je</w:t>
      </w:r>
      <w:r w:rsidR="007364BA">
        <w:rPr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>priamo úmerná koncentrácii sledovanej látky.</w:t>
      </w:r>
    </w:p>
    <w:p w14:paraId="5FB1406B" w14:textId="552BF474" w:rsidR="007364BA" w:rsidRDefault="005808A0" w:rsidP="007364BA">
      <w:pPr>
        <w:pStyle w:val="Bezriadkovania"/>
        <w:jc w:val="both"/>
        <w:rPr>
          <w:sz w:val="24"/>
          <w:szCs w:val="24"/>
        </w:rPr>
      </w:pPr>
      <w:r w:rsidRPr="008B2DF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>100 ml varná banka, 50 ml odmerná banka, chladič, vodný kúpeľ, kvapalinový</w:t>
      </w:r>
      <w:r w:rsidR="007364BA">
        <w:rPr>
          <w:sz w:val="24"/>
          <w:szCs w:val="24"/>
        </w:rPr>
        <w:t xml:space="preserve"> </w:t>
      </w:r>
      <w:proofErr w:type="spellStart"/>
      <w:r w:rsidR="007364BA" w:rsidRPr="007364BA">
        <w:rPr>
          <w:sz w:val="24"/>
          <w:szCs w:val="24"/>
        </w:rPr>
        <w:t>chromatograf</w:t>
      </w:r>
      <w:proofErr w:type="spellEnd"/>
      <w:r w:rsidR="007364BA" w:rsidRPr="007364BA">
        <w:rPr>
          <w:sz w:val="24"/>
          <w:szCs w:val="24"/>
        </w:rPr>
        <w:t xml:space="preserve"> (</w:t>
      </w:r>
      <w:proofErr w:type="spellStart"/>
      <w:r w:rsidR="007364BA" w:rsidRPr="007364BA">
        <w:rPr>
          <w:sz w:val="24"/>
          <w:szCs w:val="24"/>
        </w:rPr>
        <w:t>izokratická</w:t>
      </w:r>
      <w:proofErr w:type="spellEnd"/>
      <w:r w:rsidR="007364BA" w:rsidRPr="007364BA">
        <w:rPr>
          <w:sz w:val="24"/>
          <w:szCs w:val="24"/>
        </w:rPr>
        <w:t xml:space="preserve"> pumpa, slučkový dávkovač, </w:t>
      </w:r>
      <w:proofErr w:type="spellStart"/>
      <w:r w:rsidR="007364BA" w:rsidRPr="007364BA">
        <w:rPr>
          <w:sz w:val="24"/>
          <w:szCs w:val="24"/>
        </w:rPr>
        <w:t>refraktometrický</w:t>
      </w:r>
      <w:proofErr w:type="spellEnd"/>
      <w:r w:rsidR="007364BA" w:rsidRPr="007364BA">
        <w:rPr>
          <w:sz w:val="24"/>
          <w:szCs w:val="24"/>
        </w:rPr>
        <w:t xml:space="preserve"> detektor, kolóna</w:t>
      </w:r>
      <w:r w:rsidR="007364BA">
        <w:rPr>
          <w:sz w:val="24"/>
          <w:szCs w:val="24"/>
        </w:rPr>
        <w:t xml:space="preserve"> </w:t>
      </w:r>
      <w:r w:rsidR="007364BA" w:rsidRPr="007364BA">
        <w:rPr>
          <w:sz w:val="24"/>
          <w:szCs w:val="24"/>
        </w:rPr>
        <w:t xml:space="preserve">150x3,3 mm </w:t>
      </w:r>
      <w:proofErr w:type="spellStart"/>
      <w:r w:rsidR="007364BA" w:rsidRPr="007364BA">
        <w:rPr>
          <w:sz w:val="24"/>
          <w:szCs w:val="24"/>
        </w:rPr>
        <w:t>Separon</w:t>
      </w:r>
      <w:proofErr w:type="spellEnd"/>
      <w:r w:rsidR="007364BA" w:rsidRPr="007364BA">
        <w:rPr>
          <w:sz w:val="24"/>
          <w:szCs w:val="24"/>
        </w:rPr>
        <w:t xml:space="preserve"> SIX NH</w:t>
      </w:r>
      <w:r w:rsidR="007364BA" w:rsidRPr="007364BA">
        <w:rPr>
          <w:sz w:val="24"/>
          <w:szCs w:val="24"/>
          <w:vertAlign w:val="subscript"/>
        </w:rPr>
        <w:t>2</w:t>
      </w:r>
      <w:r w:rsidR="007364BA" w:rsidRPr="007364BA">
        <w:rPr>
          <w:sz w:val="24"/>
          <w:szCs w:val="24"/>
        </w:rPr>
        <w:t>)</w:t>
      </w:r>
      <w:r w:rsidR="007364BA">
        <w:rPr>
          <w:sz w:val="24"/>
          <w:szCs w:val="24"/>
        </w:rPr>
        <w:t>.</w:t>
      </w:r>
    </w:p>
    <w:p w14:paraId="2BDD2488" w14:textId="5BDDE73D" w:rsidR="007364BA" w:rsidRDefault="005808A0" w:rsidP="007364BA">
      <w:pPr>
        <w:pStyle w:val="Bezriadkovania"/>
        <w:jc w:val="both"/>
      </w:pPr>
      <w:r w:rsidRPr="008B2DF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="007364BA">
        <w:t>rastlinné plody (hrozienka, hruška), 75% etanol, odvzdušnená mobilná fáza</w:t>
      </w:r>
      <w:r w:rsidR="007364BA">
        <w:t xml:space="preserve"> </w:t>
      </w:r>
      <w:proofErr w:type="spellStart"/>
      <w:r w:rsidR="007364BA">
        <w:t>acetonitril:voda</w:t>
      </w:r>
      <w:proofErr w:type="spellEnd"/>
      <w:r w:rsidR="007364BA">
        <w:t xml:space="preserve"> (49:1).</w:t>
      </w:r>
    </w:p>
    <w:p w14:paraId="1C73B899" w14:textId="63AA241E" w:rsidR="005808A0" w:rsidRDefault="005808A0" w:rsidP="007364BA">
      <w:pPr>
        <w:pStyle w:val="Bezriadkovania"/>
        <w:jc w:val="both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b/>
          <w:i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Navážime 500 mg narezaných rastlinných plodov a extrahujeme v 100 ml varnej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banke 15 ml 75% etanolu (trikrát) po 20 minút na vodnom kúpeli pod spätným chladičom.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Extrakty zlievame do 50 ml odmernej banky a po ochladení doplníme na presný objem.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 xml:space="preserve">Súčasne pripravíme kvapalinový </w:t>
      </w:r>
      <w:proofErr w:type="spellStart"/>
      <w:r w:rsidR="007364BA" w:rsidRPr="007364BA">
        <w:rPr>
          <w:rFonts w:cstheme="minorHAnsi"/>
          <w:sz w:val="24"/>
          <w:szCs w:val="24"/>
        </w:rPr>
        <w:t>chromatograf</w:t>
      </w:r>
      <w:proofErr w:type="spellEnd"/>
      <w:r w:rsidR="007364BA" w:rsidRPr="007364BA">
        <w:rPr>
          <w:rFonts w:cstheme="minorHAnsi"/>
          <w:sz w:val="24"/>
          <w:szCs w:val="24"/>
        </w:rPr>
        <w:t xml:space="preserve"> na analýzy. Zapneme </w:t>
      </w:r>
      <w:proofErr w:type="spellStart"/>
      <w:r w:rsidR="007364BA" w:rsidRPr="007364BA">
        <w:rPr>
          <w:rFonts w:cstheme="minorHAnsi"/>
          <w:sz w:val="24"/>
          <w:szCs w:val="24"/>
        </w:rPr>
        <w:t>refraktometer</w:t>
      </w:r>
      <w:proofErr w:type="spellEnd"/>
      <w:r w:rsidR="007364BA" w:rsidRPr="007364BA">
        <w:rPr>
          <w:rFonts w:cstheme="minorHAnsi"/>
          <w:sz w:val="24"/>
          <w:szCs w:val="24"/>
        </w:rPr>
        <w:t>, ktorý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necháme stabilizovať asi 30 minút. Potom zapneme pumpu a po ustálení prietoku (0,2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ml.min.-1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) zapneme zapisovač. Podľa návodu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priloženého k prístroju nastavíme nulovú hodnotu</w:t>
      </w:r>
      <w:r w:rsidR="007364BA">
        <w:rPr>
          <w:rFonts w:cstheme="minorHAnsi"/>
          <w:sz w:val="24"/>
          <w:szCs w:val="24"/>
        </w:rPr>
        <w:t xml:space="preserve"> </w:t>
      </w:r>
      <w:proofErr w:type="spellStart"/>
      <w:r w:rsidR="007364BA" w:rsidRPr="007364BA">
        <w:rPr>
          <w:rFonts w:cstheme="minorHAnsi"/>
          <w:sz w:val="24"/>
          <w:szCs w:val="24"/>
        </w:rPr>
        <w:t>refraktometra</w:t>
      </w:r>
      <w:proofErr w:type="spellEnd"/>
      <w:r w:rsidR="007364BA" w:rsidRPr="007364BA">
        <w:rPr>
          <w:rFonts w:cstheme="minorHAnsi"/>
          <w:sz w:val="24"/>
          <w:szCs w:val="24"/>
        </w:rPr>
        <w:t>. Ak je základná línia na zapisovači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stála, pomocou slučkového dávkovača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 xml:space="preserve">nadávkujeme analyzovanú vzorku (20 </w:t>
      </w:r>
      <w:proofErr w:type="spellStart"/>
      <w:r w:rsidR="007364BA">
        <w:rPr>
          <w:rFonts w:cstheme="minorHAnsi"/>
          <w:sz w:val="24"/>
          <w:szCs w:val="24"/>
        </w:rPr>
        <w:t>μ</w:t>
      </w:r>
      <w:r w:rsidR="007364BA" w:rsidRPr="007364BA">
        <w:rPr>
          <w:rFonts w:cstheme="minorHAnsi"/>
          <w:sz w:val="24"/>
          <w:szCs w:val="24"/>
        </w:rPr>
        <w:t>l</w:t>
      </w:r>
      <w:proofErr w:type="spellEnd"/>
      <w:r w:rsidR="007364BA" w:rsidRPr="007364BA">
        <w:rPr>
          <w:rFonts w:cstheme="minorHAnsi"/>
          <w:sz w:val="24"/>
          <w:szCs w:val="24"/>
        </w:rPr>
        <w:t>).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Jednotlivé sacharidy identifikujeme na základe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retenčných časov štandardných látok.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V analyzovaných vzorkách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vyhodnotíme grafickou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metódou obsah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jednotlivých sacharidov a výsledky vyjadríme ako g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glukózy a fruktózy v 100 g suchých rastlinných</w:t>
      </w:r>
      <w:r w:rsidR="007364BA">
        <w:rPr>
          <w:rFonts w:cstheme="minorHAnsi"/>
          <w:sz w:val="24"/>
          <w:szCs w:val="24"/>
        </w:rPr>
        <w:t xml:space="preserve"> </w:t>
      </w:r>
      <w:r w:rsidR="007364BA" w:rsidRPr="007364BA">
        <w:rPr>
          <w:rFonts w:cstheme="minorHAnsi"/>
          <w:sz w:val="24"/>
          <w:szCs w:val="24"/>
        </w:rPr>
        <w:t>plodov</w:t>
      </w:r>
      <w:r w:rsidR="007364BA">
        <w:rPr>
          <w:rFonts w:cstheme="minorHAnsi"/>
          <w:sz w:val="24"/>
          <w:szCs w:val="24"/>
        </w:rPr>
        <w:t>.</w:t>
      </w:r>
    </w:p>
    <w:p w14:paraId="2AF4CA46" w14:textId="77777777" w:rsidR="007364BA" w:rsidRPr="007364BA" w:rsidRDefault="007364BA" w:rsidP="007364BA">
      <w:pPr>
        <w:pStyle w:val="Bezriadkovania"/>
        <w:jc w:val="both"/>
        <w:rPr>
          <w:rFonts w:cstheme="minorHAnsi"/>
          <w:sz w:val="24"/>
          <w:szCs w:val="24"/>
        </w:rPr>
      </w:pPr>
    </w:p>
    <w:p w14:paraId="7BFE161C" w14:textId="58FBCB7A" w:rsidR="007364BA" w:rsidRPr="009E5C6A" w:rsidRDefault="007364BA" w:rsidP="007364BA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B</w:t>
      </w:r>
      <w:r>
        <w:rPr>
          <w:rFonts w:ascii="Cambria" w:hAnsi="Cambria" w:cstheme="minorHAnsi"/>
          <w:b/>
          <w:sz w:val="28"/>
          <w:szCs w:val="28"/>
        </w:rPr>
        <w:t xml:space="preserve">.) </w:t>
      </w:r>
      <w:r>
        <w:rPr>
          <w:rFonts w:ascii="Cambria" w:hAnsi="Cambria" w:cstheme="minorHAnsi"/>
          <w:b/>
          <w:sz w:val="28"/>
          <w:szCs w:val="28"/>
        </w:rPr>
        <w:t xml:space="preserve">Delenie asimilačných pigmentov pomocou </w:t>
      </w:r>
      <w:proofErr w:type="spellStart"/>
      <w:r>
        <w:rPr>
          <w:rFonts w:ascii="Cambria" w:hAnsi="Cambria" w:cstheme="minorHAnsi"/>
          <w:b/>
          <w:sz w:val="28"/>
          <w:szCs w:val="28"/>
        </w:rPr>
        <w:t>tenkovrstvovej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chromatografie</w:t>
      </w:r>
    </w:p>
    <w:p w14:paraId="5A0A9308" w14:textId="3C34FFE3" w:rsidR="007364BA" w:rsidRDefault="007364BA" w:rsidP="007364BA">
      <w:pPr>
        <w:pStyle w:val="Bezriadkovania"/>
        <w:jc w:val="both"/>
        <w:rPr>
          <w:sz w:val="24"/>
          <w:szCs w:val="24"/>
        </w:rPr>
      </w:pPr>
      <w:r w:rsidRPr="0010076D">
        <w:rPr>
          <w:b/>
          <w:i/>
          <w:sz w:val="24"/>
          <w:szCs w:val="24"/>
        </w:rPr>
        <w:t>Princíp:</w:t>
      </w:r>
      <w:r>
        <w:rPr>
          <w:b/>
          <w:i/>
          <w:sz w:val="24"/>
          <w:szCs w:val="24"/>
        </w:rPr>
        <w:t xml:space="preserve"> </w:t>
      </w:r>
      <w:r w:rsidRPr="007364BA">
        <w:rPr>
          <w:sz w:val="24"/>
          <w:szCs w:val="24"/>
        </w:rPr>
        <w:t xml:space="preserve">Chlorofyly a </w:t>
      </w:r>
      <w:proofErr w:type="spellStart"/>
      <w:r w:rsidRPr="007364BA">
        <w:rPr>
          <w:sz w:val="24"/>
          <w:szCs w:val="24"/>
        </w:rPr>
        <w:t>karotenoidy</w:t>
      </w:r>
      <w:proofErr w:type="spellEnd"/>
      <w:r w:rsidRPr="007364BA">
        <w:rPr>
          <w:sz w:val="24"/>
          <w:szCs w:val="24"/>
        </w:rPr>
        <w:t xml:space="preserve"> extrahujeme acetónom z čerstvých listov a</w:t>
      </w:r>
      <w:r>
        <w:rPr>
          <w:sz w:val="24"/>
          <w:szCs w:val="24"/>
        </w:rPr>
        <w:t> </w:t>
      </w:r>
      <w:r w:rsidRPr="007364BA">
        <w:rPr>
          <w:sz w:val="24"/>
          <w:szCs w:val="24"/>
        </w:rPr>
        <w:t>rozdelíme</w:t>
      </w:r>
      <w:r>
        <w:rPr>
          <w:sz w:val="24"/>
          <w:szCs w:val="24"/>
        </w:rPr>
        <w:t xml:space="preserve"> </w:t>
      </w:r>
      <w:proofErr w:type="spellStart"/>
      <w:r w:rsidRPr="007364BA">
        <w:rPr>
          <w:sz w:val="24"/>
          <w:szCs w:val="24"/>
        </w:rPr>
        <w:t>tenkovrstvovou</w:t>
      </w:r>
      <w:proofErr w:type="spellEnd"/>
      <w:r w:rsidRPr="007364BA">
        <w:rPr>
          <w:sz w:val="24"/>
          <w:szCs w:val="24"/>
        </w:rPr>
        <w:t xml:space="preserve"> chromatografiou (TLC) na </w:t>
      </w:r>
      <w:proofErr w:type="spellStart"/>
      <w:r w:rsidRPr="007364BA">
        <w:rPr>
          <w:sz w:val="24"/>
          <w:szCs w:val="24"/>
        </w:rPr>
        <w:t>silikagélovej</w:t>
      </w:r>
      <w:proofErr w:type="spellEnd"/>
      <w:r w:rsidRPr="007364BA">
        <w:rPr>
          <w:sz w:val="24"/>
          <w:szCs w:val="24"/>
        </w:rPr>
        <w:t xml:space="preserve"> platni. Pracujeme v tmavej miestnosti</w:t>
      </w:r>
      <w:r>
        <w:rPr>
          <w:sz w:val="24"/>
          <w:szCs w:val="24"/>
        </w:rPr>
        <w:t xml:space="preserve"> </w:t>
      </w:r>
      <w:r w:rsidRPr="007364BA">
        <w:rPr>
          <w:sz w:val="24"/>
          <w:szCs w:val="24"/>
        </w:rPr>
        <w:t>pri nepriamom osvetlení a bez zbytočných časových strát, aby sme minimalizovali degradáciu</w:t>
      </w:r>
      <w:r>
        <w:rPr>
          <w:sz w:val="24"/>
          <w:szCs w:val="24"/>
        </w:rPr>
        <w:t xml:space="preserve"> </w:t>
      </w:r>
      <w:r w:rsidRPr="007364BA">
        <w:rPr>
          <w:sz w:val="24"/>
          <w:szCs w:val="24"/>
        </w:rPr>
        <w:t>pigmentov.</w:t>
      </w:r>
      <w:r w:rsidRPr="007364BA">
        <w:rPr>
          <w:sz w:val="24"/>
          <w:szCs w:val="24"/>
        </w:rPr>
        <w:cr/>
      </w:r>
      <w:r w:rsidRPr="008B2DF0">
        <w:rPr>
          <w:b/>
          <w:i/>
          <w:sz w:val="24"/>
          <w:szCs w:val="24"/>
        </w:rPr>
        <w:t>Pomôcky:</w:t>
      </w:r>
      <w:r>
        <w:rPr>
          <w:b/>
          <w:i/>
          <w:sz w:val="24"/>
          <w:szCs w:val="24"/>
        </w:rPr>
        <w:t xml:space="preserve"> </w:t>
      </w:r>
      <w:r w:rsidRPr="007364BA">
        <w:rPr>
          <w:sz w:val="24"/>
          <w:szCs w:val="24"/>
        </w:rPr>
        <w:t xml:space="preserve">razidlo na vysekávanie terčíkov z listov, </w:t>
      </w:r>
      <w:proofErr w:type="spellStart"/>
      <w:r w:rsidRPr="007364BA">
        <w:rPr>
          <w:sz w:val="24"/>
          <w:szCs w:val="24"/>
        </w:rPr>
        <w:t>roztieračka</w:t>
      </w:r>
      <w:proofErr w:type="spellEnd"/>
      <w:r w:rsidRPr="007364BA">
        <w:rPr>
          <w:sz w:val="24"/>
          <w:szCs w:val="24"/>
        </w:rPr>
        <w:t>, sklená kapilára,</w:t>
      </w:r>
      <w:r>
        <w:rPr>
          <w:sz w:val="24"/>
          <w:szCs w:val="24"/>
        </w:rPr>
        <w:t xml:space="preserve"> </w:t>
      </w:r>
      <w:r w:rsidRPr="007364BA">
        <w:rPr>
          <w:sz w:val="24"/>
          <w:szCs w:val="24"/>
        </w:rPr>
        <w:t xml:space="preserve">chromatografická nádoba, </w:t>
      </w:r>
      <w:proofErr w:type="spellStart"/>
      <w:r w:rsidRPr="007364BA">
        <w:rPr>
          <w:sz w:val="24"/>
          <w:szCs w:val="24"/>
        </w:rPr>
        <w:t>silikagélová</w:t>
      </w:r>
      <w:proofErr w:type="spellEnd"/>
      <w:r w:rsidRPr="007364BA">
        <w:rPr>
          <w:sz w:val="24"/>
          <w:szCs w:val="24"/>
        </w:rPr>
        <w:t xml:space="preserve"> platňa</w:t>
      </w:r>
    </w:p>
    <w:p w14:paraId="62B7893F" w14:textId="676A988D" w:rsidR="007364BA" w:rsidRDefault="007364BA" w:rsidP="007364BA">
      <w:pPr>
        <w:pStyle w:val="Bezriadkovania"/>
        <w:jc w:val="both"/>
      </w:pPr>
      <w:r w:rsidRPr="008B2DF0">
        <w:rPr>
          <w:rFonts w:cstheme="minorHAnsi"/>
          <w:b/>
          <w:i/>
          <w:sz w:val="24"/>
          <w:szCs w:val="24"/>
        </w:rPr>
        <w:t>Materiál: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list muškátu (</w:t>
      </w:r>
      <w:proofErr w:type="spellStart"/>
      <w:r w:rsidRPr="007364BA">
        <w:rPr>
          <w:rFonts w:cstheme="minorHAnsi"/>
          <w:sz w:val="24"/>
          <w:szCs w:val="24"/>
        </w:rPr>
        <w:t>Pelargonium</w:t>
      </w:r>
      <w:proofErr w:type="spellEnd"/>
      <w:r w:rsidRPr="007364BA">
        <w:rPr>
          <w:rFonts w:cstheme="minorHAnsi"/>
          <w:sz w:val="24"/>
          <w:szCs w:val="24"/>
        </w:rPr>
        <w:t xml:space="preserve"> </w:t>
      </w:r>
      <w:proofErr w:type="spellStart"/>
      <w:r w:rsidRPr="007364BA">
        <w:rPr>
          <w:rFonts w:cstheme="minorHAnsi"/>
          <w:sz w:val="24"/>
          <w:szCs w:val="24"/>
        </w:rPr>
        <w:t>zonale</w:t>
      </w:r>
      <w:proofErr w:type="spellEnd"/>
      <w:r w:rsidRPr="007364BA">
        <w:rPr>
          <w:rFonts w:cstheme="minorHAnsi"/>
          <w:sz w:val="24"/>
          <w:szCs w:val="24"/>
        </w:rPr>
        <w:t xml:space="preserve"> L.), acetón, </w:t>
      </w:r>
      <w:proofErr w:type="spellStart"/>
      <w:r w:rsidRPr="007364BA">
        <w:rPr>
          <w:rFonts w:cstheme="minorHAnsi"/>
          <w:sz w:val="24"/>
          <w:szCs w:val="24"/>
        </w:rPr>
        <w:t>vyvíjacia</w:t>
      </w:r>
      <w:proofErr w:type="spellEnd"/>
      <w:r w:rsidRPr="007364BA">
        <w:rPr>
          <w:rFonts w:cstheme="minorHAnsi"/>
          <w:sz w:val="24"/>
          <w:szCs w:val="24"/>
        </w:rPr>
        <w:t xml:space="preserve"> zmes (</w:t>
      </w:r>
      <w:proofErr w:type="spellStart"/>
      <w:r w:rsidRPr="007364BA">
        <w:rPr>
          <w:rFonts w:cstheme="minorHAnsi"/>
          <w:sz w:val="24"/>
          <w:szCs w:val="24"/>
        </w:rPr>
        <w:t>petroléterizopropanol</w:t>
      </w:r>
      <w:proofErr w:type="spellEnd"/>
      <w:r w:rsidRPr="007364BA">
        <w:rPr>
          <w:rFonts w:cstheme="minorHAnsi"/>
          <w:sz w:val="24"/>
          <w:szCs w:val="24"/>
        </w:rPr>
        <w:t xml:space="preserve"> -voda 120:10:0,25), MgCO</w:t>
      </w:r>
      <w:r w:rsidRPr="007364BA">
        <w:rPr>
          <w:rFonts w:cstheme="minorHAnsi"/>
          <w:sz w:val="24"/>
          <w:szCs w:val="24"/>
          <w:vertAlign w:val="subscript"/>
        </w:rPr>
        <w:t>3</w:t>
      </w:r>
      <w:r w:rsidRPr="007364BA">
        <w:rPr>
          <w:rFonts w:cstheme="minorHAnsi"/>
          <w:sz w:val="24"/>
          <w:szCs w:val="24"/>
        </w:rPr>
        <w:t>, morský piesok</w:t>
      </w:r>
    </w:p>
    <w:p w14:paraId="3EE3F11D" w14:textId="21040C69" w:rsidR="007364BA" w:rsidRPr="007364BA" w:rsidRDefault="007364BA" w:rsidP="007364BA">
      <w:pPr>
        <w:pStyle w:val="Bezriadkovania"/>
        <w:jc w:val="both"/>
        <w:rPr>
          <w:rFonts w:cstheme="minorHAnsi"/>
          <w:sz w:val="24"/>
          <w:szCs w:val="24"/>
        </w:rPr>
      </w:pPr>
      <w:r w:rsidRPr="00564EC0">
        <w:rPr>
          <w:rFonts w:cstheme="minorHAnsi"/>
          <w:b/>
          <w:i/>
          <w:sz w:val="24"/>
          <w:szCs w:val="24"/>
        </w:rPr>
        <w:t>Postup: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Z listu, pomocou razidla na gumovej podložke, vysekneme päť alebo viac terčíkov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 xml:space="preserve">(podľa obsahu chlorofylov). Do </w:t>
      </w:r>
      <w:proofErr w:type="spellStart"/>
      <w:r w:rsidRPr="007364BA">
        <w:rPr>
          <w:rFonts w:cstheme="minorHAnsi"/>
          <w:sz w:val="24"/>
          <w:szCs w:val="24"/>
        </w:rPr>
        <w:t>roztieračky</w:t>
      </w:r>
      <w:proofErr w:type="spellEnd"/>
      <w:r w:rsidRPr="007364BA">
        <w:rPr>
          <w:rFonts w:cstheme="minorHAnsi"/>
          <w:sz w:val="24"/>
          <w:szCs w:val="24"/>
        </w:rPr>
        <w:t xml:space="preserve"> k terčíkom z listov nasypeme malé množstvo 62</w:t>
      </w:r>
    </w:p>
    <w:p w14:paraId="5A90B1B3" w14:textId="5305869A" w:rsidR="007364BA" w:rsidRDefault="007364BA" w:rsidP="007364BA">
      <w:pPr>
        <w:pStyle w:val="Bezriadkovania"/>
        <w:jc w:val="both"/>
        <w:rPr>
          <w:rFonts w:cstheme="minorHAnsi"/>
          <w:sz w:val="24"/>
          <w:szCs w:val="24"/>
        </w:rPr>
      </w:pPr>
      <w:r w:rsidRPr="007364BA">
        <w:rPr>
          <w:rFonts w:cstheme="minorHAnsi"/>
          <w:sz w:val="24"/>
          <w:szCs w:val="24"/>
        </w:rPr>
        <w:lastRenderedPageBreak/>
        <w:t>morského piesku, na špičku noža MgCO3 a zalejeme malým množstvom acetónu.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Rozotieraním extrahujeme pigmenty. Extrakcia pigmentov je dostatočná vtedy, keď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fragmenty listového pletiva nie sú zelené. Sýtozelený acetónový extrakt nanášame sklenou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 xml:space="preserve">kapilárou na platňu </w:t>
      </w:r>
      <w:proofErr w:type="spellStart"/>
      <w:r w:rsidRPr="007364BA">
        <w:rPr>
          <w:rFonts w:cstheme="minorHAnsi"/>
          <w:sz w:val="24"/>
          <w:szCs w:val="24"/>
        </w:rPr>
        <w:t>Silufol</w:t>
      </w:r>
      <w:proofErr w:type="spellEnd"/>
      <w:r w:rsidRPr="007364BA">
        <w:rPr>
          <w:rFonts w:cstheme="minorHAnsi"/>
          <w:sz w:val="24"/>
          <w:szCs w:val="24"/>
        </w:rPr>
        <w:t xml:space="preserve"> asi 15 mm od spodného okraja tak, aby priemer škvrny bol asi 5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 xml:space="preserve">mm. Po rozdelení zmesi pigmentov ich identifikujeme podľa polohy na </w:t>
      </w:r>
      <w:proofErr w:type="spellStart"/>
      <w:r w:rsidRPr="007364BA">
        <w:rPr>
          <w:rFonts w:cstheme="minorHAnsi"/>
          <w:sz w:val="24"/>
          <w:szCs w:val="24"/>
        </w:rPr>
        <w:t>chromatograme</w:t>
      </w:r>
      <w:proofErr w:type="spellEnd"/>
      <w:r w:rsidRPr="007364BA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farby.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Do protokolu</w:t>
      </w:r>
      <w:r>
        <w:rPr>
          <w:rFonts w:cstheme="minorHAnsi"/>
          <w:sz w:val="24"/>
          <w:szCs w:val="24"/>
        </w:rPr>
        <w:t xml:space="preserve"> </w:t>
      </w:r>
      <w:r w:rsidRPr="007364BA">
        <w:rPr>
          <w:rFonts w:cstheme="minorHAnsi"/>
          <w:sz w:val="24"/>
          <w:szCs w:val="24"/>
        </w:rPr>
        <w:t>zakreslíme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364BA">
        <w:rPr>
          <w:rFonts w:cstheme="minorHAnsi"/>
          <w:sz w:val="24"/>
          <w:szCs w:val="24"/>
        </w:rPr>
        <w:t>chromatogram</w:t>
      </w:r>
      <w:proofErr w:type="spellEnd"/>
      <w:r w:rsidRPr="007364BA">
        <w:rPr>
          <w:rFonts w:cstheme="minorHAnsi"/>
          <w:sz w:val="24"/>
          <w:szCs w:val="24"/>
        </w:rPr>
        <w:t xml:space="preserve"> a uvedieme zistené hodnoty RF.</w:t>
      </w:r>
    </w:p>
    <w:p w14:paraId="42D37D04" w14:textId="77777777" w:rsidR="007364BA" w:rsidRPr="007364BA" w:rsidRDefault="007364BA" w:rsidP="007364BA">
      <w:pPr>
        <w:pStyle w:val="Bezriadkovania"/>
        <w:jc w:val="both"/>
        <w:rPr>
          <w:rFonts w:cstheme="minorHAnsi"/>
          <w:sz w:val="24"/>
          <w:szCs w:val="24"/>
        </w:rPr>
      </w:pPr>
    </w:p>
    <w:p w14:paraId="1870CBEB" w14:textId="6881E73B" w:rsidR="005808A0" w:rsidRDefault="005808A0" w:rsidP="005808A0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Záver</w:t>
      </w:r>
    </w:p>
    <w:p w14:paraId="330B7325" w14:textId="77777777" w:rsidR="000C7515" w:rsidRPr="009E5C6A" w:rsidRDefault="000C7515" w:rsidP="000C7515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A.) Stanovenie sacharidov v rastlinných plodoch metódou HPLC</w:t>
      </w:r>
    </w:p>
    <w:p w14:paraId="4C70D1BA" w14:textId="26199744" w:rsidR="000C7515" w:rsidRDefault="000C7515" w:rsidP="00DB5FA5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ECCD3A2" wp14:editId="4DB5E916">
            <wp:extent cx="2615373" cy="36099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2843" cy="36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243245" w14:textId="64A942B4" w:rsidR="000C7515" w:rsidRPr="009E5C6A" w:rsidRDefault="000C7515" w:rsidP="000C7515">
      <w:pPr>
        <w:pStyle w:val="Bezriadkovania"/>
        <w:jc w:val="both"/>
        <w:rPr>
          <w:rFonts w:ascii="Cambria" w:hAnsi="Cambria" w:cstheme="minorHAnsi"/>
          <w:b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 xml:space="preserve">B.) Delenie asimilačných pigmentov pomocou </w:t>
      </w:r>
      <w:proofErr w:type="spellStart"/>
      <w:r>
        <w:rPr>
          <w:rFonts w:ascii="Cambria" w:hAnsi="Cambria" w:cstheme="minorHAnsi"/>
          <w:b/>
          <w:sz w:val="28"/>
          <w:szCs w:val="28"/>
        </w:rPr>
        <w:t>tenkovrstvovej</w:t>
      </w:r>
      <w:proofErr w:type="spellEnd"/>
      <w:r>
        <w:rPr>
          <w:rFonts w:ascii="Cambria" w:hAnsi="Cambria" w:cstheme="minorHAnsi"/>
          <w:b/>
          <w:sz w:val="28"/>
          <w:szCs w:val="28"/>
        </w:rPr>
        <w:t xml:space="preserve"> chromatografie</w:t>
      </w:r>
    </w:p>
    <w:p w14:paraId="4228206D" w14:textId="7CF6D3AD" w:rsidR="005808A0" w:rsidRDefault="000C7515" w:rsidP="005808A0">
      <w:r>
        <w:rPr>
          <w:noProof/>
        </w:rPr>
        <w:drawing>
          <wp:inline distT="0" distB="0" distL="0" distR="0" wp14:anchorId="2423939A" wp14:editId="0ECA41C1">
            <wp:extent cx="1571625" cy="3074492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1661" cy="31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48"/>
    <w:rsid w:val="000C7515"/>
    <w:rsid w:val="005808A0"/>
    <w:rsid w:val="006B1FF6"/>
    <w:rsid w:val="00731A48"/>
    <w:rsid w:val="007364BA"/>
    <w:rsid w:val="00AE5E75"/>
    <w:rsid w:val="00B73C90"/>
    <w:rsid w:val="00BD665B"/>
    <w:rsid w:val="00D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A3249"/>
  <w15:chartTrackingRefBased/>
  <w15:docId w15:val="{88CDFE26-7961-4ACA-B4C6-39FB987A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08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80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5808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7</cp:revision>
  <dcterms:created xsi:type="dcterms:W3CDTF">2019-05-14T12:59:00Z</dcterms:created>
  <dcterms:modified xsi:type="dcterms:W3CDTF">2019-05-14T13:40:00Z</dcterms:modified>
</cp:coreProperties>
</file>