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73A56" w14:textId="72E5DBD4" w:rsidR="008D37A2" w:rsidRDefault="00907604">
      <w:r>
        <w:t>1.</w:t>
      </w:r>
    </w:p>
    <w:p w14:paraId="57E047C0" w14:textId="77777777" w:rsidR="008D37A2" w:rsidRDefault="008D37A2">
      <w:r>
        <w:rPr>
          <w:noProof/>
        </w:rPr>
        <w:drawing>
          <wp:inline distT="0" distB="0" distL="0" distR="0" wp14:anchorId="4713DD29" wp14:editId="1797E2A0">
            <wp:extent cx="5731510" cy="2792095"/>
            <wp:effectExtent l="0" t="0" r="254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E90984-CD0C-4EA2-855E-02A55AC03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D607FF" w14:textId="5C48A9F5" w:rsidR="008D37A2" w:rsidRPr="008D37A2" w:rsidRDefault="008D37A2">
      <w:r w:rsidRPr="008D37A2">
        <w:rPr>
          <w:b/>
          <w:bCs/>
        </w:rPr>
        <w:t xml:space="preserve">Figure 1. </w:t>
      </w:r>
      <w:r>
        <w:t xml:space="preserve">Histogram of the </w:t>
      </w:r>
      <w:r w:rsidR="00A757C5">
        <w:t>heights</w:t>
      </w:r>
      <w:r w:rsidR="0045677B">
        <w:t xml:space="preserve"> (in cm)</w:t>
      </w:r>
      <w:r w:rsidR="00A757C5">
        <w:t xml:space="preserve"> of the heather shrubs (</w:t>
      </w:r>
      <w:proofErr w:type="spellStart"/>
      <w:r w:rsidR="00A757C5">
        <w:rPr>
          <w:i/>
        </w:rPr>
        <w:t>Calluna</w:t>
      </w:r>
      <w:proofErr w:type="spellEnd"/>
      <w:r w:rsidR="00A757C5">
        <w:rPr>
          <w:i/>
        </w:rPr>
        <w:t xml:space="preserve"> vulgaris</w:t>
      </w:r>
      <w:r w:rsidR="00A757C5">
        <w:t xml:space="preserve">), where the ranges of values are increments of 10 units. </w:t>
      </w:r>
    </w:p>
    <w:p w14:paraId="644D7657" w14:textId="671EDF59" w:rsidR="00082C8B" w:rsidRDefault="008D37A2">
      <w:r>
        <w:t>Our data has a kurtosis value 0.29, which indicates low leptokurtic distribution. However, our value is very close to the zero (ideal kurtosis value), and therefore we can assume that there is not a problem with our data.  Our skew</w:t>
      </w:r>
      <w:r w:rsidR="00E21855">
        <w:t xml:space="preserve">ness is 1.05 - </w:t>
      </w:r>
      <w:r>
        <w:t>right</w:t>
      </w:r>
      <w:r w:rsidR="00E21855">
        <w:t>-side (positive) skew. The good way how to test this type of skewness is that our mean (35.43</w:t>
      </w:r>
      <w:r w:rsidR="0045677B">
        <w:t xml:space="preserve"> cm</w:t>
      </w:r>
      <w:r w:rsidR="00E21855">
        <w:t>) and median (28</w:t>
      </w:r>
      <w:r w:rsidR="0045677B">
        <w:t xml:space="preserve"> cm</w:t>
      </w:r>
      <w:r w:rsidR="00E21855">
        <w:t>) values will be higher than the mode (4</w:t>
      </w:r>
      <w:r w:rsidR="0045677B">
        <w:t xml:space="preserve"> cm</w:t>
      </w:r>
      <w:r w:rsidR="00E21855">
        <w:t xml:space="preserve">). </w:t>
      </w:r>
      <w:r w:rsidR="00A900A5">
        <w:t xml:space="preserve">Because we have positive skewness, we may assume that our </w:t>
      </w:r>
      <w:r w:rsidR="00A900A5" w:rsidRPr="00F60DF9">
        <w:rPr>
          <w:u w:val="single"/>
        </w:rPr>
        <w:t xml:space="preserve">data are not </w:t>
      </w:r>
      <w:r w:rsidR="004F05C3" w:rsidRPr="00F60DF9">
        <w:rPr>
          <w:u w:val="single"/>
        </w:rPr>
        <w:t>normally distributed.</w:t>
      </w:r>
      <w:r w:rsidR="004F05C3">
        <w:t xml:space="preserve"> </w:t>
      </w:r>
      <w:r w:rsidR="00F60DF9">
        <w:t>To measure central tendency, I decided to calculate median value (28</w:t>
      </w:r>
      <w:r w:rsidR="0045677B">
        <w:t xml:space="preserve"> cm</w:t>
      </w:r>
      <w:r w:rsidR="00F60DF9">
        <w:t xml:space="preserve">). It is because we have right-skewed data and the mean is being dragged in the direct of the skew. In this case, I think that to calculate median is the best option. </w:t>
      </w:r>
    </w:p>
    <w:p w14:paraId="38333C90" w14:textId="4A737808" w:rsidR="00985DD9" w:rsidRDefault="00907604">
      <w:r>
        <w:t>2.</w:t>
      </w:r>
    </w:p>
    <w:p w14:paraId="7E3B1703" w14:textId="3BEECF91" w:rsidR="0051383E" w:rsidRDefault="009907D9">
      <w:pPr>
        <w:rPr>
          <w:noProof/>
        </w:rPr>
      </w:pPr>
      <w:r>
        <w:rPr>
          <w:noProof/>
        </w:rPr>
        <w:t>For investigation whether there is any association between the habitat type</w:t>
      </w:r>
      <w:r w:rsidR="0051383E">
        <w:rPr>
          <w:noProof/>
        </w:rPr>
        <w:t>s and the two month species, I used chi-square probabilty test.</w:t>
      </w:r>
    </w:p>
    <w:p w14:paraId="539DD11B" w14:textId="5FF22A70" w:rsidR="0051383E" w:rsidRDefault="0051383E">
      <w:pPr>
        <w:rPr>
          <w:noProof/>
        </w:rPr>
      </w:pPr>
      <w:r>
        <w:rPr>
          <w:noProof/>
        </w:rPr>
        <w:t xml:space="preserve">Null hypotheis: there is no association between </w:t>
      </w:r>
      <w:r>
        <w:rPr>
          <w:noProof/>
        </w:rPr>
        <w:t>the habitat types and the two month species</w:t>
      </w:r>
    </w:p>
    <w:p w14:paraId="6852E533" w14:textId="716E5215" w:rsidR="0051383E" w:rsidRDefault="0051383E">
      <w:pPr>
        <w:rPr>
          <w:noProof/>
        </w:rPr>
      </w:pPr>
      <w:r>
        <w:rPr>
          <w:noProof/>
        </w:rPr>
        <w:t>Alternative hypothesis:</w:t>
      </w:r>
      <w:r w:rsidRPr="0051383E">
        <w:rPr>
          <w:noProof/>
        </w:rPr>
        <w:t xml:space="preserve"> </w:t>
      </w:r>
      <w:r>
        <w:rPr>
          <w:noProof/>
        </w:rPr>
        <w:t>there is association between the habitat types and the two month species</w:t>
      </w:r>
    </w:p>
    <w:p w14:paraId="76DEEFF2" w14:textId="0DF2E2FB" w:rsidR="009907D9" w:rsidRDefault="0051383E">
      <w:pPr>
        <w:rPr>
          <w:noProof/>
        </w:rPr>
      </w:pPr>
      <w:r>
        <w:rPr>
          <w:noProof/>
        </w:rPr>
        <w:t xml:space="preserve">Our p-value (0.005) is less than 0.05, so there is a significant association between habitat type and month species. The probability that the null hypotheis being true is only 0.05% - therefore we rather reject the null hypothesis and accept the alternative one. </w:t>
      </w:r>
    </w:p>
    <w:p w14:paraId="3736C2BD" w14:textId="54E88263" w:rsidR="00985DD9" w:rsidRDefault="009907D9">
      <w:r>
        <w:rPr>
          <w:noProof/>
        </w:rPr>
        <w:drawing>
          <wp:inline distT="0" distB="0" distL="0" distR="0" wp14:anchorId="64E38DF7" wp14:editId="477D2726">
            <wp:extent cx="3448050" cy="159341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037" t="44613" r="33026" b="37364"/>
                    <a:stretch/>
                  </pic:blipFill>
                  <pic:spPr bwMode="auto">
                    <a:xfrm>
                      <a:off x="0" y="0"/>
                      <a:ext cx="3476328" cy="160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3A5D2" w14:textId="77777777" w:rsidR="00194322" w:rsidRDefault="00194322">
      <w:r>
        <w:lastRenderedPageBreak/>
        <w:t>3.</w:t>
      </w:r>
    </w:p>
    <w:p w14:paraId="2F86BA96" w14:textId="723469A7" w:rsidR="004C6041" w:rsidRDefault="00985DD9">
      <w:pPr>
        <w:rPr>
          <w:noProof/>
        </w:rPr>
      </w:pPr>
      <w:r>
        <w:t xml:space="preserve"> </w:t>
      </w:r>
      <w:r w:rsidR="00FF1CC6">
        <w:t xml:space="preserve">I used Kolmogorov-Smirnov statistical test to </w:t>
      </w:r>
      <w:r w:rsidR="00ED30DF">
        <w:t xml:space="preserve">in order to answer posed question. </w:t>
      </w:r>
    </w:p>
    <w:p w14:paraId="521241D8" w14:textId="26F8BD66" w:rsidR="00985DD9" w:rsidRDefault="004C6041">
      <w:r>
        <w:rPr>
          <w:noProof/>
        </w:rPr>
        <w:drawing>
          <wp:inline distT="0" distB="0" distL="0" distR="0" wp14:anchorId="39556376" wp14:editId="463E68C2">
            <wp:extent cx="4569896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92" t="20977" r="56293" b="30864"/>
                    <a:stretch/>
                  </pic:blipFill>
                  <pic:spPr bwMode="auto">
                    <a:xfrm>
                      <a:off x="0" y="0"/>
                      <a:ext cx="4594858" cy="305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3DA52" w14:textId="77777777" w:rsidR="004C6041" w:rsidRDefault="004C6041"/>
    <w:p w14:paraId="393B955C" w14:textId="09E26831" w:rsidR="00907604" w:rsidRDefault="004C6041">
      <w:r>
        <w:t xml:space="preserve">Null hypothesis: There is not a significant difference of marking student’s assessments between staff member x and staff member y. </w:t>
      </w:r>
    </w:p>
    <w:p w14:paraId="3EA38127" w14:textId="4085EF50" w:rsidR="004C6041" w:rsidRDefault="004C6041">
      <w:r>
        <w:t xml:space="preserve">Research hypothesis: </w:t>
      </w:r>
      <w:r>
        <w:t>There is a significant difference of marking student’s assessments between staff member x and staff member y.</w:t>
      </w:r>
    </w:p>
    <w:p w14:paraId="6D3AA5C7" w14:textId="0AC8630B" w:rsidR="004C6041" w:rsidRDefault="004C6041">
      <w:r>
        <w:t>As our D=0.05&lt;</w:t>
      </w:r>
      <w:proofErr w:type="spellStart"/>
      <w:r>
        <w:t>D</w:t>
      </w:r>
      <w:r>
        <w:rPr>
          <w:vertAlign w:val="subscript"/>
        </w:rPr>
        <w:t>crit</w:t>
      </w:r>
      <w:proofErr w:type="spellEnd"/>
      <w:r>
        <w:t xml:space="preserve">=0.32, we accept the null hypothesis, so the marks awarded by the two academic members of staff are consistent.  </w:t>
      </w:r>
    </w:p>
    <w:p w14:paraId="448C54AB" w14:textId="00CB4FE6" w:rsidR="00FF1CC6" w:rsidRDefault="00ED30DF">
      <w:r>
        <w:t xml:space="preserve">Next, I produced following scatterplot: </w:t>
      </w:r>
    </w:p>
    <w:p w14:paraId="46173AC1" w14:textId="6345AEEC" w:rsidR="00FF1CC6" w:rsidRDefault="00FF1CC6">
      <w:r>
        <w:rPr>
          <w:noProof/>
        </w:rPr>
        <w:drawing>
          <wp:inline distT="0" distB="0" distL="0" distR="0" wp14:anchorId="4B58549D" wp14:editId="3273EC68">
            <wp:extent cx="5903626" cy="23520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90" cy="2354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46DE1" w14:textId="7B01F23F" w:rsidR="009D0F3B" w:rsidRDefault="009D0F3B"/>
    <w:p w14:paraId="416D26FE" w14:textId="0616AE46" w:rsidR="00FF1CC6" w:rsidRPr="00ED30DF" w:rsidRDefault="00ED30DF">
      <w:r>
        <w:t>Our correlation coefficient R</w:t>
      </w:r>
      <w:r>
        <w:rPr>
          <w:vertAlign w:val="superscript"/>
        </w:rPr>
        <w:t>2</w:t>
      </w:r>
      <w:r>
        <w:t xml:space="preserve">= 0.94 means strong positive relationship, what also confirms that the marks are a fair reflection of the work submitted. </w:t>
      </w:r>
    </w:p>
    <w:sectPr w:rsidR="00FF1CC6" w:rsidRPr="00ED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F4"/>
    <w:rsid w:val="00082C8B"/>
    <w:rsid w:val="00194322"/>
    <w:rsid w:val="0045677B"/>
    <w:rsid w:val="00485044"/>
    <w:rsid w:val="004C6041"/>
    <w:rsid w:val="004F05C3"/>
    <w:rsid w:val="0051383E"/>
    <w:rsid w:val="008D37A2"/>
    <w:rsid w:val="00907604"/>
    <w:rsid w:val="00985DD9"/>
    <w:rsid w:val="009907D9"/>
    <w:rsid w:val="009D0F3B"/>
    <w:rsid w:val="00A757C5"/>
    <w:rsid w:val="00A900A5"/>
    <w:rsid w:val="00B94367"/>
    <w:rsid w:val="00C14AF4"/>
    <w:rsid w:val="00E21855"/>
    <w:rsid w:val="00ED30DF"/>
    <w:rsid w:val="00F60DF9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D454"/>
  <w15:chartTrackingRefBased/>
  <w15:docId w15:val="{85E30277-A20C-4E15-9E89-8C0C9368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kand\Desktop\Uniofabdn%202.year\2.year\2.%20Term\GG2508%20Skills%20and%20Techniques%20in%20Geosciences\Portfolio%20tasks\portfolio%203+4\Statistical%20Data_Portfol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Sheet3!$A$2:$A$13</c:f>
              <c:numCache>
                <c:formatCode>General</c:formatCode>
                <c:ptCount val="12"/>
                <c:pt idx="0">
                  <c:v>4</c:v>
                </c:pt>
                <c:pt idx="1">
                  <c:v>14</c:v>
                </c:pt>
                <c:pt idx="2">
                  <c:v>24</c:v>
                </c:pt>
                <c:pt idx="3">
                  <c:v>34</c:v>
                </c:pt>
                <c:pt idx="4">
                  <c:v>44</c:v>
                </c:pt>
                <c:pt idx="5">
                  <c:v>54</c:v>
                </c:pt>
                <c:pt idx="6">
                  <c:v>64</c:v>
                </c:pt>
                <c:pt idx="7">
                  <c:v>74</c:v>
                </c:pt>
                <c:pt idx="8">
                  <c:v>84</c:v>
                </c:pt>
                <c:pt idx="9">
                  <c:v>94</c:v>
                </c:pt>
                <c:pt idx="10">
                  <c:v>104</c:v>
                </c:pt>
                <c:pt idx="11">
                  <c:v>114</c:v>
                </c:pt>
              </c:numCache>
            </c:numRef>
          </c:cat>
          <c:val>
            <c:numRef>
              <c:f>Sheet3!$B$2:$B$13</c:f>
              <c:numCache>
                <c:formatCode>General</c:formatCode>
                <c:ptCount val="12"/>
                <c:pt idx="0">
                  <c:v>3</c:v>
                </c:pt>
                <c:pt idx="1">
                  <c:v>9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9-4E1C-AFF7-A0386CD636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0955872"/>
        <c:axId val="1960956288"/>
      </c:barChart>
      <c:catAx>
        <c:axId val="1960955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Bin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0956288"/>
        <c:crosses val="autoZero"/>
        <c:auto val="1"/>
        <c:lblAlgn val="ctr"/>
        <c:lblOffset val="100"/>
        <c:noMultiLvlLbl val="0"/>
      </c:catAx>
      <c:valAx>
        <c:axId val="19609562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60955872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Kandrová</dc:creator>
  <cp:keywords/>
  <dc:description/>
  <cp:lastModifiedBy>Silvia Kandrová</cp:lastModifiedBy>
  <cp:revision>9</cp:revision>
  <dcterms:created xsi:type="dcterms:W3CDTF">2021-02-28T16:55:00Z</dcterms:created>
  <dcterms:modified xsi:type="dcterms:W3CDTF">2021-03-01T09:40:00Z</dcterms:modified>
</cp:coreProperties>
</file>