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C1C70">
      <w:r w:rsidRPr="00AC1C70">
        <w:drawing>
          <wp:inline distT="0" distB="0" distL="0" distR="0">
            <wp:extent cx="4274049" cy="2722651"/>
            <wp:effectExtent l="0" t="0" r="0" b="0"/>
            <wp:docPr id="1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67600" cy="4525963"/>
                      <a:chOff x="-32" y="1600200"/>
                      <a:chExt cx="7467600" cy="4525963"/>
                    </a:xfrm>
                  </a:grpSpPr>
                  <a:sp>
                    <a:nvSpPr>
                      <a:cNvPr id="3" name="Zástupný symbol pro obsah 2"/>
                      <a:cNvSpPr>
                        <a:spLocks noGrp="1"/>
                      </a:cNvSpPr>
                    </a:nvSpPr>
                    <a:spPr>
                      <a:xfrm>
                        <a:off x="-32" y="1600200"/>
                        <a:ext cx="7467600" cy="45259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>
                          <a:normAutofit fontScale="85000" lnSpcReduction="10000"/>
                        </a:bodyPr>
                        <a:lstStyle>
                          <a:lvl1pPr marL="420624" indent="-384048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/>
                            </a:buClr>
                            <a:buSzPct val="80000"/>
                            <a:buFont typeface="Wingdings 2"/>
                            <a:buChar char=""/>
                            <a:defRPr kumimoji="0" sz="3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22376" indent="-27432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/>
                            </a:buClr>
                            <a:buSzPct val="90000"/>
                            <a:buFont typeface="Wingdings 2"/>
                            <a:buChar char=""/>
                            <a:defRPr kumimoji="0" sz="2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05840" indent="-256032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2"/>
                            </a:buClr>
                            <a:buSzPct val="85000"/>
                            <a:buFont typeface="Arial"/>
                            <a:buChar char="○"/>
                            <a:defRPr kumimoji="0"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280160" indent="-237744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3"/>
                            </a:buClr>
                            <a:buSzPct val="90000"/>
                            <a:buFont typeface="Wingdings 2"/>
                            <a:buChar char=""/>
                            <a:defRPr kumimoji="0"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490472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4"/>
                            </a:buClr>
                            <a:buSzPct val="100000"/>
                            <a:buFont typeface="Arial"/>
                            <a:buChar char="-"/>
                            <a:defRPr kumimoji="0"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700784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5"/>
                            </a:buClr>
                            <a:buFont typeface="Arial"/>
                            <a:buChar char="-"/>
                            <a:defRPr kumimoji="0" sz="2000" kern="1200" baseline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92024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6"/>
                            </a:buClr>
                            <a:buSzPct val="100000"/>
                            <a:buFont typeface="Arial"/>
                            <a:buChar char="•"/>
                            <a:defRPr kumimoji="0" sz="1800" kern="1200" baseline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2139696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6"/>
                            </a:buClr>
                            <a:buFont typeface="Arial"/>
                            <a:buChar char="▪"/>
                            <a:defRPr kumimoji="0" sz="1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233172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6"/>
                            </a:buClr>
                            <a:buFont typeface="Arial"/>
                            <a:buChar char="•"/>
                            <a:defRPr kumimoji="0" sz="1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k-SK" dirty="0"/>
                            <a:t>k</a:t>
                          </a:r>
                          <a:r>
                            <a:rPr lang="sk-SK" dirty="0" smtClean="0"/>
                            <a:t>rajina ľadovcov a gejzírov</a:t>
                          </a:r>
                        </a:p>
                        <a:p>
                          <a:r>
                            <a:rPr lang="sk-SK" dirty="0"/>
                            <a:t>h</a:t>
                          </a:r>
                          <a:r>
                            <a:rPr lang="sk-SK" dirty="0" smtClean="0"/>
                            <a:t>lavné mesto: </a:t>
                          </a:r>
                          <a:r>
                            <a:rPr lang="sk-SK" b="1" dirty="0" smtClean="0"/>
                            <a:t>Reykjavík</a:t>
                          </a:r>
                        </a:p>
                        <a:p>
                          <a:r>
                            <a:rPr lang="sk-SK" dirty="0"/>
                            <a:t>a</a:t>
                          </a:r>
                          <a:r>
                            <a:rPr lang="sk-SK" dirty="0" smtClean="0"/>
                            <a:t>ktívne sopky, najznámejšia je </a:t>
                          </a:r>
                          <a:r>
                            <a:rPr lang="sk-SK" b="1" dirty="0" err="1" smtClean="0"/>
                            <a:t>Hekla</a:t>
                          </a:r>
                          <a:endParaRPr lang="sk-SK" b="1" dirty="0" smtClean="0"/>
                        </a:p>
                        <a:p>
                          <a:r>
                            <a:rPr lang="sk-SK" b="1" dirty="0"/>
                            <a:t>h</a:t>
                          </a:r>
                          <a:r>
                            <a:rPr lang="sk-SK" b="1" dirty="0" smtClean="0"/>
                            <a:t>orúce pramene </a:t>
                          </a:r>
                          <a:r>
                            <a:rPr lang="sk-SK" dirty="0" smtClean="0"/>
                            <a:t>– vykurovanie budov a skleníkov, pestujú subtropické ovocie</a:t>
                          </a:r>
                        </a:p>
                        <a:p>
                          <a:r>
                            <a:rPr lang="sk-SK" b="1" dirty="0"/>
                            <a:t>S</a:t>
                          </a:r>
                          <a:r>
                            <a:rPr lang="sk-SK" b="1" dirty="0" smtClean="0"/>
                            <a:t>everoatlantický prúd </a:t>
                          </a:r>
                          <a:r>
                            <a:rPr lang="sk-SK" dirty="0" smtClean="0"/>
                            <a:t>– vplýva na počasie</a:t>
                          </a:r>
                        </a:p>
                        <a:p>
                          <a:r>
                            <a:rPr lang="sk-SK" b="1" dirty="0"/>
                            <a:t>p</a:t>
                          </a:r>
                          <a:r>
                            <a:rPr lang="sk-SK" b="1" dirty="0" smtClean="0"/>
                            <a:t>očasie</a:t>
                          </a:r>
                          <a:r>
                            <a:rPr lang="sk-SK" dirty="0" smtClean="0"/>
                            <a:t> – veľké mrazy nie sú ani v zime, hoci Island zasahuje až k severnej polárnej kružnici</a:t>
                          </a:r>
                        </a:p>
                        <a:p>
                          <a:r>
                            <a:rPr lang="sk-SK" b="1" dirty="0"/>
                            <a:t>r</a:t>
                          </a:r>
                          <a:r>
                            <a:rPr lang="sk-SK" b="1" dirty="0" smtClean="0"/>
                            <a:t>ybolov</a:t>
                          </a:r>
                        </a:p>
                        <a:p>
                          <a:r>
                            <a:rPr lang="sk-SK" b="1" dirty="0"/>
                            <a:t>v</a:t>
                          </a:r>
                          <a:r>
                            <a:rPr lang="sk-SK" b="1" dirty="0" smtClean="0"/>
                            <a:t>odná doprava </a:t>
                          </a:r>
                          <a:r>
                            <a:rPr lang="sk-SK" dirty="0" smtClean="0"/>
                            <a:t>– veľmi využívaná</a:t>
                          </a:r>
                          <a:endParaRPr lang="cs-CZ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C1C70" w:rsidRDefault="00AC1C70"/>
    <w:sectPr w:rsidR="00AC1C70" w:rsidSect="00AC1C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C1C70"/>
    <w:rsid w:val="00AC1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C1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C1C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2017-02-22T15:40:00Z</dcterms:created>
  <dcterms:modified xsi:type="dcterms:W3CDTF">2017-02-22T15:40:00Z</dcterms:modified>
</cp:coreProperties>
</file>