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-29160</wp:posOffset>
            </wp:positionH>
            <wp:positionV relativeFrom="paragraph">
              <wp:posOffset>-152194</wp:posOffset>
            </wp:positionV>
            <wp:extent cx="1598213" cy="944422"/>
            <wp:effectExtent b="0" l="0" r="0" t="0"/>
            <wp:wrapNone/>
            <wp:docPr descr="Gymgl_logo!" id="10" name="image1.jpg"/>
            <a:graphic>
              <a:graphicData uri="http://schemas.openxmlformats.org/drawingml/2006/picture">
                <pic:pic>
                  <pic:nvPicPr>
                    <pic:cNvPr descr="Gymgl_logo!" id="0" name="image1.jpg"/>
                    <pic:cNvPicPr preferRelativeResize="0"/>
                  </pic:nvPicPr>
                  <pic:blipFill>
                    <a:blip r:embed="rId7"/>
                    <a:srcRect b="0" l="10217" r="5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left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4">
      <w:pPr>
        <w:tabs>
          <w:tab w:val="left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 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fonduregionálneho rozvoja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12" name="image2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11" name="image3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9" name="image4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C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80" w:before="36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02124"/>
              <w:sz w:val="36"/>
              <w:szCs w:val="36"/>
              <w:u w:val="single"/>
              <w:shd w:fill="auto" w:val="clear"/>
              <w:vertAlign w:val="baseline"/>
              <w:rtl w:val="0"/>
            </w:rPr>
            <w:t xml:space="preserve">Dotazník zbierania spätnej väzby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4"/>
        <w:gridCol w:w="6354"/>
        <w:tblGridChange w:id="0">
          <w:tblGrid>
            <w:gridCol w:w="3114"/>
            <w:gridCol w:w="635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Krúžok 1.1.3. Zvládnime spolu maturitu zo SJL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 zbierania spätnej väzby: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11. 5. 2022</w:t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pos="42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4290"/>
        </w:tabs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Ako veľmi sa Ti páčili jednotlivé aktivity?</w:t>
      </w:r>
    </w:p>
    <w:p w:rsidR="00000000" w:rsidDel="00000000" w:rsidP="00000000" w:rsidRDefault="00000000" w:rsidRPr="00000000" w14:paraId="00000013">
      <w:pPr>
        <w:tabs>
          <w:tab w:val="left" w:pos="4290"/>
        </w:tabs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1.aktivita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KVÍZ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90"/>
        </w:tabs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aktivita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90"/>
        </w:tabs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aktivita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INTERAKTÍVNE CVIČENIA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S ktorými pomôckami sa Ti dobre pracovalo?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Notebooky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Literatúra a učebnice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Pracovné zošity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Zbierky textov a úloh z literatúry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115" w:before="0" w:line="249" w:lineRule="auto"/>
        <w:ind w:left="720" w:right="5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Ktoré učebné metódy Ti najviac vyhovujú?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vysvetľuje a rozpráva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rieši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realizuje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pozorovať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znázorňovať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sami vyskúšať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zažiť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90"/>
        </w:tabs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Ako hodnotíš priebeh krúžku?</w:t>
      </w:r>
    </w:p>
    <w:p w:rsidR="00000000" w:rsidDel="00000000" w:rsidP="00000000" w:rsidRDefault="00000000" w:rsidRPr="00000000" w14:paraId="00000029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134"/>
          <w:tab w:val="left" w:pos="4290"/>
        </w:tabs>
        <w:spacing w:after="120" w:befor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Ako hodnotíš učiteľa - vedúceho krúžku?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Čo sa dialo na krúžku?</w:t>
      </w:r>
    </w:p>
    <w:p w:rsidR="00000000" w:rsidDel="00000000" w:rsidP="00000000" w:rsidRDefault="00000000" w:rsidRPr="00000000" w14:paraId="0000002E">
      <w:pPr>
        <w:spacing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Trénovali sme schopnosť čítania s porozumením</w:t>
      </w:r>
    </w:p>
    <w:p w:rsidR="00000000" w:rsidDel="00000000" w:rsidP="00000000" w:rsidRDefault="00000000" w:rsidRPr="00000000" w14:paraId="0000002F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0">
      <w:pPr>
        <w:spacing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Trénovali sme prácu s textom</w:t>
      </w:r>
    </w:p>
    <w:p w:rsidR="00000000" w:rsidDel="00000000" w:rsidP="00000000" w:rsidRDefault="00000000" w:rsidRPr="00000000" w14:paraId="00000031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2">
      <w:pPr>
        <w:spacing w:after="120" w:before="120"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Pripravovali sme sa na maturitnú skúšku zo slovenského jazyka a literatúry vo všetkých jej formách </w:t>
      </w:r>
    </w:p>
    <w:p w:rsidR="00000000" w:rsidDel="00000000" w:rsidP="00000000" w:rsidRDefault="00000000" w:rsidRPr="00000000" w14:paraId="00000033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4">
      <w:pPr>
        <w:spacing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Analyzovali sme jednotlivé typové úlohy </w:t>
      </w:r>
    </w:p>
    <w:p w:rsidR="00000000" w:rsidDel="00000000" w:rsidP="00000000" w:rsidRDefault="00000000" w:rsidRPr="00000000" w14:paraId="00000035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6">
      <w:pPr>
        <w:spacing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Trénovali sme prácu na čas</w:t>
      </w:r>
    </w:p>
    <w:p w:rsidR="00000000" w:rsidDel="00000000" w:rsidP="00000000" w:rsidRDefault="00000000" w:rsidRPr="00000000" w14:paraId="00000037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8">
      <w:pPr>
        <w:spacing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Precvičovali sme nadobudnuté vedomosti a zručnosti prostredníctvom rôznych elektronických testovacích nástrojov</w:t>
      </w:r>
    </w:p>
    <w:p w:rsidR="00000000" w:rsidDel="00000000" w:rsidP="00000000" w:rsidRDefault="00000000" w:rsidRPr="00000000" w14:paraId="00000039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A">
      <w:pPr>
        <w:spacing w:after="120" w:before="120"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Trénovali sme prácu s  konkrétnymi témami a slohovými žánrami </w:t>
      </w:r>
    </w:p>
    <w:p w:rsidR="00000000" w:rsidDel="00000000" w:rsidP="00000000" w:rsidRDefault="00000000" w:rsidRPr="00000000" w14:paraId="0000003B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C">
      <w:pPr>
        <w:spacing w:after="120" w:before="120"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Nacvičovali sme tvorbu textov v jednotlivých žánroch</w:t>
      </w:r>
    </w:p>
    <w:p w:rsidR="00000000" w:rsidDel="00000000" w:rsidP="00000000" w:rsidRDefault="00000000" w:rsidRPr="00000000" w14:paraId="0000003D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E">
      <w:pPr>
        <w:spacing w:after="120" w:before="120" w:line="256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Analyzovali sme vytvorené slohové práce</w:t>
      </w:r>
    </w:p>
    <w:p w:rsidR="00000000" w:rsidDel="00000000" w:rsidP="00000000" w:rsidRDefault="00000000" w:rsidRPr="00000000" w14:paraId="0000003F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40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8. Podeľ sa o svoje zážitky a názory: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Už viem že:</w:t>
      </w:r>
    </w:p>
    <w:p w:rsidR="00000000" w:rsidDel="00000000" w:rsidP="00000000" w:rsidRDefault="00000000" w:rsidRPr="00000000" w14:paraId="00000043">
      <w:pPr>
        <w:tabs>
          <w:tab w:val="left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tabs>
          <w:tab w:val="left" w:pos="429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Páčilo sa mi:</w:t>
      </w:r>
    </w:p>
    <w:p w:rsidR="00000000" w:rsidDel="00000000" w:rsidP="00000000" w:rsidRDefault="00000000" w:rsidRPr="00000000" w14:paraId="00000045">
      <w:pPr>
        <w:tabs>
          <w:tab w:val="left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Návrhy na zlepšenie:</w:t>
      </w:r>
    </w:p>
    <w:p w:rsidR="00000000" w:rsidDel="00000000" w:rsidP="00000000" w:rsidRDefault="00000000" w:rsidRPr="00000000" w14:paraId="00000047">
      <w:pPr>
        <w:tabs>
          <w:tab w:val="left" w:pos="4290"/>
        </w:tabs>
        <w:spacing w:after="120" w:before="280" w:lin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993" w:top="851" w:left="1134" w:right="849" w:header="709" w:footer="2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color="000000" w:space="1" w:sz="4" w:val="single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49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4A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325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D6289C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3D1A63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3D1A63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3D1A63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3D1A63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3D1A63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3D1A63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3D1A63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3D1A63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3D1A63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 w:val="1"/>
    <w:rsid w:val="0014623E"/>
    <w:pPr>
      <w:numPr>
        <w:ilvl w:val="1"/>
      </w:numPr>
      <w:spacing w:after="240" w:line="276" w:lineRule="auto"/>
      <w:jc w:val="center"/>
    </w:pPr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 w:val="1"/>
    <w:unhideWhenUsed w:val="1"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 w:val="1"/>
    <w:unhideWhenUsed w:val="1"/>
    <w:rsid w:val="002851F5"/>
  </w:style>
  <w:style w:type="character" w:styleId="TextkomentraChar" w:customStyle="1">
    <w:name w:val="Text komentára Char"/>
    <w:basedOn w:val="Predvolenpsmoodseku"/>
    <w:link w:val="Textkomentra"/>
    <w:semiHidden w:val="1"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 w:val="1"/>
    <w:unhideWhenUsed w:val="1"/>
    <w:rsid w:val="002851F5"/>
    <w:rPr>
      <w:b w:val="1"/>
      <w:bCs w:val="1"/>
    </w:rPr>
  </w:style>
  <w:style w:type="character" w:styleId="PredmetkomentraChar" w:customStyle="1">
    <w:name w:val="Predmet komentára Char"/>
    <w:basedOn w:val="TextkomentraChar"/>
    <w:link w:val="Predmetkomentra"/>
    <w:semiHidden w:val="1"/>
    <w:rsid w:val="002851F5"/>
    <w:rPr>
      <w:b w:val="1"/>
      <w:bCs w:val="1"/>
      <w:lang w:eastAsia="cs-CZ"/>
    </w:rPr>
  </w:style>
  <w:style w:type="paragraph" w:styleId="Textbubliny">
    <w:name w:val="Balloon Text"/>
    <w:basedOn w:val="Normlny"/>
    <w:link w:val="TextbublinyChar"/>
    <w:semiHidden w:val="1"/>
    <w:unhideWhenUsed w:val="1"/>
    <w:rsid w:val="002851F5"/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semiHidden w:val="1"/>
    <w:rsid w:val="002851F5"/>
    <w:rPr>
      <w:rFonts w:ascii="Segoe UI" w:cs="Segoe UI" w:hAnsi="Segoe UI"/>
      <w:sz w:val="18"/>
      <w:szCs w:val="18"/>
      <w:lang w:eastAsia="cs-CZ"/>
    </w:r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4iD8Sf5NVj2t3+fKBbGvWXch5w==">AMUW2mXQZNkFTb/wpQR1MbNQ/O7/7fH4e7puLfPBx04SRyDSEdtemqE2w7uaCI6IVRF4XSrufSTrEsxqyJ6nXAZ8uuFcl5at5BC3nCNmd+0mrlX3Teogn616C2jmovxbO9mhwZ1exZSwNB6YT6/aEiXb7BdFEPHfow==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2021-07-29T14:20:00Z</dcterms:created>
  <dc:creator>Gymnázium</dc:creator>
</cp:coreProperties>
</file>