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49C73A63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D768C1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  <w:bookmarkStart w:id="0" w:name="_GoBack"/>
      <w:bookmarkEnd w:id="0"/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34CEAE39" w:rsidR="00646AC1" w:rsidRDefault="00316E67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Metodická p</w:t>
      </w:r>
      <w:r w:rsidR="0026608A">
        <w:rPr>
          <w:rFonts w:asciiTheme="minorHAnsi" w:hAnsiTheme="minorHAnsi" w:cs="Arial"/>
          <w:color w:val="202124"/>
        </w:rPr>
        <w:t>ríprava</w:t>
      </w:r>
      <w:r w:rsidR="00D57638">
        <w:rPr>
          <w:rFonts w:asciiTheme="minorHAnsi" w:hAnsiTheme="minorHAnsi" w:cs="Arial"/>
        </w:rPr>
        <w:t xml:space="preserve"> </w:t>
      </w:r>
      <w:bookmarkStart w:id="1" w:name="_Hlk30080034"/>
      <w:r w:rsidR="00261409">
        <w:rPr>
          <w:rFonts w:asciiTheme="minorHAnsi" w:hAnsiTheme="minorHAnsi" w:cs="Arial"/>
        </w:rPr>
        <w:t>zážitkového workshop</w:t>
      </w:r>
      <w:r w:rsidR="00D57638">
        <w:rPr>
          <w:rFonts w:asciiTheme="minorHAnsi" w:hAnsiTheme="minorHAnsi" w:cs="Arial"/>
        </w:rPr>
        <w:t>u</w:t>
      </w:r>
      <w:r w:rsidR="00646AC1">
        <w:rPr>
          <w:rFonts w:asciiTheme="minorHAnsi" w:hAnsiTheme="minorHAnsi" w:cs="Arial"/>
        </w:rPr>
        <w:t xml:space="preserve"> </w:t>
      </w:r>
      <w:bookmarkEnd w:id="1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9D33F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19B623E1" w:rsidR="00646AC1" w:rsidRPr="00035339" w:rsidRDefault="00261409" w:rsidP="0021787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</w:t>
            </w:r>
            <w:r w:rsidR="0021787C">
              <w:rPr>
                <w:rFonts w:asciiTheme="minorHAnsi" w:hAnsiTheme="minorHAnsi" w:cstheme="minorHAnsi"/>
                <w:b/>
                <w:bCs/>
              </w:rPr>
              <w:t>4. Poďme spolu experimentovať</w:t>
            </w:r>
          </w:p>
        </w:tc>
      </w:tr>
      <w:tr w:rsidR="009D33F1" w:rsidRPr="00A944CA" w14:paraId="4B533DAA" w14:textId="77777777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42059E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DE619C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14:paraId="327B0A03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BE6023" w14:textId="672A2C08"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261409" w:rsidRPr="00A944CA" w14:paraId="7D5C9DC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0A8" w14:textId="6703E404" w:rsidR="00261409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</w:t>
            </w:r>
            <w:r w:rsidR="00710181">
              <w:rPr>
                <w:rFonts w:asciiTheme="minorHAnsi" w:hAnsiTheme="minorHAnsi" w:cstheme="minorHAnsi"/>
              </w:rPr>
              <w:t>y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F512" w14:textId="0B353FCD" w:rsidR="00261409" w:rsidRDefault="0021787C" w:rsidP="0021787C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05.02.2020 12.45-18.45</w:t>
            </w:r>
          </w:p>
        </w:tc>
      </w:tr>
      <w:tr w:rsidR="00261409" w:rsidRPr="00A944CA" w14:paraId="003B5BB4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7E6E2" w14:textId="3C744A73" w:rsidR="00261409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r w:rsidR="00261409">
              <w:rPr>
                <w:rFonts w:asciiTheme="minorHAnsi" w:hAnsiTheme="minorHAnsi" w:cstheme="minorHAnsi"/>
              </w:rPr>
              <w:t>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6DBA" w14:textId="7E182451" w:rsidR="00261409" w:rsidRPr="00261409" w:rsidRDefault="00710181" w:rsidP="0021787C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 xml:space="preserve">RNDr. </w:t>
            </w:r>
            <w:r w:rsidR="0021787C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 xml:space="preserve">Lenka </w:t>
            </w:r>
            <w:proofErr w:type="spellStart"/>
            <w:r w:rsidR="0021787C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Škarbeková</w:t>
            </w:r>
            <w:proofErr w:type="spellEnd"/>
          </w:p>
        </w:tc>
      </w:tr>
      <w:tr w:rsidR="00261409" w:rsidRPr="00A944CA" w14:paraId="018518DD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6DC5" w14:textId="33DF64AA" w:rsidR="00261409" w:rsidRDefault="00DF7318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</w:t>
            </w:r>
            <w:r w:rsidR="0026140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k</w:t>
            </w:r>
            <w:r w:rsidR="00261409">
              <w:rPr>
                <w:rFonts w:asciiTheme="minorHAnsi" w:hAnsiTheme="minorHAnsi" w:cstheme="minorHAnsi"/>
              </w:rPr>
              <w:t>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FC3A" w14:textId="63B51D51" w:rsidR="00261409" w:rsidRPr="00261409" w:rsidRDefault="00710181" w:rsidP="0021787C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Mgr. </w:t>
            </w:r>
            <w:r w:rsidR="0021787C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Jaroslava </w:t>
            </w:r>
            <w:proofErr w:type="spellStart"/>
            <w:r w:rsidR="0021787C">
              <w:rPr>
                <w:rFonts w:asciiTheme="minorHAnsi" w:eastAsia="Arial" w:hAnsiTheme="minorHAnsi" w:cstheme="minorHAnsi"/>
                <w:color w:val="000000"/>
                <w:lang w:eastAsia="sk-SK"/>
              </w:rPr>
              <w:t>Viťazková</w:t>
            </w:r>
            <w:proofErr w:type="spellEnd"/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364EE6A1" w:rsidR="00035339" w:rsidRPr="00035339" w:rsidRDefault="00261409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1085EF37" w:rsidR="00035339" w:rsidRPr="00035339" w:rsidRDefault="00003B9D" w:rsidP="00191BBC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03B9D">
              <w:rPr>
                <w:rFonts w:asciiTheme="minorHAnsi" w:hAnsiTheme="minorHAnsi" w:cstheme="minorHAnsi"/>
                <w:b/>
              </w:rPr>
              <w:t>2</w:t>
            </w:r>
            <w:r w:rsidR="00191BBC">
              <w:rPr>
                <w:rFonts w:asciiTheme="minorHAnsi" w:hAnsiTheme="minorHAnsi" w:cstheme="minorHAnsi"/>
                <w:b/>
              </w:rPr>
              <w:t>4</w:t>
            </w:r>
            <w:r w:rsidR="00AF26F7" w:rsidRPr="00003B9D">
              <w:rPr>
                <w:rFonts w:asciiTheme="minorHAnsi" w:hAnsiTheme="minorHAnsi" w:cstheme="minorHAnsi"/>
                <w:b/>
              </w:rPr>
              <w:t xml:space="preserve"> </w:t>
            </w:r>
            <w:r w:rsidR="00035339" w:rsidRPr="00003B9D">
              <w:rPr>
                <w:rFonts w:asciiTheme="minorHAnsi" w:hAnsiTheme="minorHAnsi" w:cstheme="minorHAnsi"/>
                <w:b/>
              </w:rPr>
              <w:t>žiakov</w:t>
            </w:r>
            <w:r w:rsidR="00261409" w:rsidRPr="00003B9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33F1" w:rsidRPr="00A944CA" w14:paraId="1604F82C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DB73" w14:textId="25AF6CD6"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B434" w14:textId="53384E19" w:rsidR="009D33F1" w:rsidRDefault="009D33F1" w:rsidP="00DF7F9F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9D07EB">
              <w:rPr>
                <w:rFonts w:asciiTheme="minorHAnsi" w:hAnsiTheme="minorHAnsi" w:cstheme="minorHAnsi"/>
                <w:b/>
              </w:rPr>
              <w:t xml:space="preserve">Učebňa </w:t>
            </w:r>
            <w:r w:rsidR="00462EFB" w:rsidRPr="009D07EB">
              <w:rPr>
                <w:rFonts w:asciiTheme="minorHAnsi" w:hAnsiTheme="minorHAnsi" w:cstheme="minorHAnsi"/>
                <w:b/>
              </w:rPr>
              <w:t xml:space="preserve">chémie </w:t>
            </w:r>
            <w:r w:rsidR="00AF26F7" w:rsidRPr="009D07EB">
              <w:rPr>
                <w:rFonts w:asciiTheme="minorHAnsi" w:hAnsiTheme="minorHAnsi" w:cstheme="minorHAnsi"/>
                <w:b/>
              </w:rPr>
              <w:t xml:space="preserve">/ </w:t>
            </w:r>
            <w:r w:rsidR="0021787C" w:rsidRPr="009D07EB">
              <w:rPr>
                <w:rFonts w:asciiTheme="minorHAnsi" w:hAnsiTheme="minorHAnsi" w:cstheme="minorHAnsi"/>
                <w:b/>
              </w:rPr>
              <w:t>Učebňa</w:t>
            </w:r>
            <w:r w:rsidR="00462EFB" w:rsidRPr="009D07EB">
              <w:rPr>
                <w:rFonts w:asciiTheme="minorHAnsi" w:hAnsiTheme="minorHAnsi" w:cstheme="minorHAnsi"/>
                <w:b/>
              </w:rPr>
              <w:t xml:space="preserve"> fyziky</w:t>
            </w:r>
            <w:r w:rsidR="0021787C" w:rsidRPr="009D07E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33F1" w:rsidRPr="00A944CA" w14:paraId="27E62D04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2279B" w14:textId="37F2E5F6" w:rsidR="009D33F1" w:rsidRP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9D33F1">
              <w:rPr>
                <w:rFonts w:asciiTheme="minorHAnsi" w:hAnsiTheme="minorHAnsi" w:cstheme="minorHAnsi"/>
                <w:b/>
                <w:caps/>
              </w:rPr>
              <w:t>Študijné materiály a</w:t>
            </w:r>
            <w:r w:rsidR="006217FE">
              <w:rPr>
                <w:rFonts w:asciiTheme="minorHAnsi" w:hAnsiTheme="minorHAnsi" w:cstheme="minorHAnsi"/>
                <w:b/>
                <w:caps/>
              </w:rPr>
              <w:t> 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pomôcky</w:t>
            </w:r>
          </w:p>
        </w:tc>
      </w:tr>
      <w:tr w:rsidR="00035339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1923B1F" w:rsidR="00273797" w:rsidRPr="00B60E25" w:rsidRDefault="0003533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43B3" w14:textId="403AAE5E" w:rsidR="00035339" w:rsidRPr="00C822D5" w:rsidRDefault="00273797" w:rsidP="00C822D5">
            <w:pPr>
              <w:pStyle w:val="Odsekzoznamu"/>
              <w:numPr>
                <w:ilvl w:val="1"/>
                <w:numId w:val="15"/>
              </w:numPr>
              <w:spacing w:after="0" w:line="240" w:lineRule="auto"/>
              <w:ind w:left="175" w:hanging="175"/>
              <w:rPr>
                <w:rFonts w:asciiTheme="minorHAnsi" w:hAnsiTheme="minorHAnsi" w:cstheme="minorHAnsi"/>
                <w:sz w:val="20"/>
                <w:szCs w:val="20"/>
              </w:rPr>
            </w:pPr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Zariadenie a vybavenie: </w:t>
            </w:r>
            <w:r w:rsidR="00AF26F7" w:rsidRPr="00AF26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Digitálny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hlukomer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s displejom a rozsahom 30-120 dB pre pokusy z akustiky (napr. DW275-1M -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Hlukomer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„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inno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"); Digitálny teplomer na vysoké teploty rozsah -50 až +1150 °C; Diódový laser s 3 lúčmi (červený s magnetickým uchytením) na pokusy z optiky; Elektromechanické sily -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sada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pomôcok na pokusy z elektromagnetizmu; Guľa a prstenec na pokusy s tepelnou dilatáciou; Jednokanálový osciloskop 10 MHz pre pokusy z elektriny a akustiky; Kalorimeter s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topnou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špirálou na pokusy s teplom; Kapilarita - súprava 5 zvislých vzájomne spojených sklenených trubíc rôzneho priemeru na spoločnom podstavci; Kolesový zotrvačník pre pokusy s momentom zotrvačnosti (napr. DM351-1F); Mikrofón so statívom pre pokusy z akustiky; Napájací batériový zdroj pre mikrofón; Notebooky pre žiakov do prenosnej zostavy; Obdĺžniková sklenená vaňa 150/100/300mm na pokusy s kvapalinami; Optická lavica s vysokovýkonným zdrojom svetla a s laserovým zdrojom svetla na pokusy z optiky; Prenosná skrinka na 10 notebookov s možnosťou dobíjania;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Sada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pre pozorovanie siločiar magnetického poľa; Spektrálne trubice s rôznymi plynmi na pokusy s elektrickými výbojmi (1 bal = 6 ks); Súprava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banánikových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vodičov s odbočkou - 4 mm, 1 mm2, 50 cm, červený (1bal.= 10 ks); Súprava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banánikových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vodičov s odbočkou - 4 mm, 1 mm2, 50 cm, čierny (1 bal.=10 ks); Súprava vodičov s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krokosvorkami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- 50 cm, rôzne farby (1 bal.=8ks); Súprava zrkadiel priemeru 50 mm zmontovateľných do optickej lavice (1 bal. = 6 ks); Univerzálny sieťový zdroj 6 V/12 V/24 V AC/5A a 5 V/6 V/12 V/30V DC/2,5A pre pokusy s elektrinou; Vreckový </w:t>
            </w:r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digitálny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multimeter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s LCD displejom na merania </w:t>
            </w:r>
            <w:proofErr w:type="spellStart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>eletrických</w:t>
            </w:r>
            <w:proofErr w:type="spellEnd"/>
            <w:r w:rsidR="00C822D5" w:rsidRPr="00C822D5">
              <w:rPr>
                <w:rFonts w:asciiTheme="minorHAnsi" w:hAnsiTheme="minorHAnsi" w:cstheme="minorHAnsi"/>
                <w:sz w:val="20"/>
                <w:szCs w:val="20"/>
              </w:rPr>
              <w:t xml:space="preserve"> veličín</w:t>
            </w:r>
          </w:p>
        </w:tc>
      </w:tr>
      <w:tr w:rsidR="00035339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0C2B" w14:textId="6C62AF3D" w:rsidR="00035339" w:rsidRDefault="009D33F1" w:rsidP="0026140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Použité š</w:t>
            </w:r>
            <w:r w:rsidR="0093004A">
              <w:rPr>
                <w:rFonts w:asciiTheme="minorHAnsi" w:hAnsiTheme="minorHAnsi" w:cstheme="minorHAnsi"/>
              </w:rPr>
              <w:t xml:space="preserve">tudijné materiály a pomôcky </w:t>
            </w:r>
          </w:p>
          <w:p w14:paraId="2D855BC8" w14:textId="09E070D0" w:rsidR="00273797" w:rsidRPr="00273797" w:rsidRDefault="00273797" w:rsidP="00261409">
            <w:pPr>
              <w:spacing w:line="256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0AA1" w14:textId="02549DF4" w:rsidR="007F50D5" w:rsidRDefault="007F50D5" w:rsidP="007F50D5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D33F1">
              <w:rPr>
                <w:rFonts w:asciiTheme="minorHAnsi" w:hAnsiTheme="minorHAnsi" w:cstheme="minorHAnsi"/>
                <w:sz w:val="20"/>
                <w:szCs w:val="20"/>
              </w:rPr>
              <w:t>Pomôcky: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chemické plášte, rukavice, ochranné okuliare, 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>chemické sklo (kadičky (250 ml, 400 ml), odmerný valec,</w:t>
            </w:r>
            <w:r w:rsidR="009F178B">
              <w:rPr>
                <w:rFonts w:asciiTheme="minorHAnsi" w:hAnsiTheme="minorHAnsi" w:cstheme="minorHAnsi"/>
                <w:sz w:val="20"/>
                <w:szCs w:val="20"/>
              </w:rPr>
              <w:t xml:space="preserve"> teplomer,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B06C9">
              <w:rPr>
                <w:rFonts w:asciiTheme="minorHAnsi" w:hAnsiTheme="minorHAnsi" w:cstheme="minorHAnsi"/>
                <w:sz w:val="20"/>
                <w:szCs w:val="20"/>
              </w:rPr>
              <w:t>Erlenmayerove</w:t>
            </w:r>
            <w:proofErr w:type="spellEnd"/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banka, skúmavky</w:t>
            </w:r>
            <w:r w:rsidR="003B5CC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>, laboratórny stojan, filtračný kruh, filtračný lievik,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 filtračný papier, nožnice,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B06C9">
              <w:rPr>
                <w:rFonts w:asciiTheme="minorHAnsi" w:hAnsiTheme="minorHAnsi" w:cstheme="minorHAnsi"/>
                <w:sz w:val="20"/>
                <w:szCs w:val="20"/>
              </w:rPr>
              <w:t>Liebigov</w:t>
            </w:r>
            <w:proofErr w:type="spellEnd"/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chladič, liehový kahan, chemické kliešte, chemická lyžička, sieťka, trojnožka, sklenené tyčinky, destilovaná voda, kyselina octová, kockový </w:t>
            </w:r>
            <w:r w:rsidR="009E1E01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>práškový cukor, síra prášková, kuchynská soľ, peroxid vodíka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 (3% a 30%)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, kyselina citrónová, sóda bikarbóna, </w:t>
            </w:r>
            <w:r w:rsidR="009E1E01">
              <w:rPr>
                <w:rFonts w:asciiTheme="minorHAnsi" w:hAnsiTheme="minorHAnsi" w:cstheme="minorHAnsi"/>
                <w:sz w:val="20"/>
                <w:szCs w:val="20"/>
              </w:rPr>
              <w:t xml:space="preserve">tekutý dusík, 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batérie, zariadenie na elektrolýzu, 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kriedy, </w:t>
            </w:r>
            <w:proofErr w:type="spellStart"/>
            <w:r w:rsidR="00DB06C9">
              <w:rPr>
                <w:rFonts w:asciiTheme="minorHAnsi" w:hAnsiTheme="minorHAnsi" w:cstheme="minorHAnsi"/>
                <w:sz w:val="20"/>
                <w:szCs w:val="20"/>
              </w:rPr>
              <w:t>fixy</w:t>
            </w:r>
            <w:proofErr w:type="spellEnd"/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, balóny, 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vajíčka, energetický nápoj, varič, živočíšne uhlie, 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prskavky, 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popol, plyn do zapaľovačov, saponát, 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priesvitná páska, ceruzka, </w:t>
            </w:r>
            <w:r w:rsidR="009E1E01">
              <w:rPr>
                <w:rFonts w:asciiTheme="minorHAnsi" w:hAnsiTheme="minorHAnsi" w:cstheme="minorHAnsi"/>
                <w:sz w:val="20"/>
                <w:szCs w:val="20"/>
              </w:rPr>
              <w:t xml:space="preserve">kyselina sírová, jód, kyselina chlorovodíková, sodík, </w:t>
            </w:r>
            <w:proofErr w:type="spellStart"/>
            <w:r w:rsidR="00DB06C9">
              <w:rPr>
                <w:rFonts w:asciiTheme="minorHAnsi" w:hAnsiTheme="minorHAnsi" w:cstheme="minorHAnsi"/>
                <w:sz w:val="20"/>
                <w:szCs w:val="20"/>
              </w:rPr>
              <w:t>Vernier</w:t>
            </w:r>
            <w:proofErr w:type="spellEnd"/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DB06C9">
              <w:rPr>
                <w:rFonts w:asciiTheme="minorHAnsi" w:hAnsiTheme="minorHAnsi" w:cstheme="minorHAnsi"/>
                <w:sz w:val="20"/>
                <w:szCs w:val="20"/>
              </w:rPr>
              <w:t>Labquest</w:t>
            </w:r>
            <w:proofErr w:type="spellEnd"/>
            <w:r w:rsidR="00DB06C9">
              <w:rPr>
                <w:rFonts w:asciiTheme="minorHAnsi" w:hAnsiTheme="minorHAnsi" w:cstheme="minorHAnsi"/>
                <w:sz w:val="20"/>
                <w:szCs w:val="20"/>
              </w:rPr>
              <w:t xml:space="preserve"> so sondami na meranie pH a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DB06C9">
              <w:rPr>
                <w:rFonts w:asciiTheme="minorHAnsi" w:hAnsiTheme="minorHAnsi" w:cstheme="minorHAnsi"/>
                <w:sz w:val="20"/>
                <w:szCs w:val="20"/>
              </w:rPr>
              <w:t>teploty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, indikátorové papieriky, </w:t>
            </w:r>
            <w:r w:rsidR="003B5CCF">
              <w:rPr>
                <w:rFonts w:asciiTheme="minorHAnsi" w:hAnsiTheme="minorHAnsi" w:cstheme="minorHAnsi"/>
                <w:sz w:val="20"/>
                <w:szCs w:val="20"/>
              </w:rPr>
              <w:t xml:space="preserve">farbiace látky, </w:t>
            </w:r>
            <w:r w:rsidR="00CF4A3F">
              <w:rPr>
                <w:rFonts w:asciiTheme="minorHAnsi" w:hAnsiTheme="minorHAnsi" w:cstheme="minorHAnsi"/>
                <w:sz w:val="20"/>
                <w:szCs w:val="20"/>
              </w:rPr>
              <w:t xml:space="preserve">zapaľovač,   </w:t>
            </w:r>
          </w:p>
          <w:p w14:paraId="701EE47D" w14:textId="3E90F40C" w:rsidR="00DC7D94" w:rsidRPr="00DC7D94" w:rsidRDefault="00DC7D94" w:rsidP="00E4254A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9D33F1">
              <w:rPr>
                <w:rFonts w:asciiTheme="minorHAnsi" w:hAnsiTheme="minorHAnsi" w:cstheme="minorHAnsi"/>
                <w:sz w:val="20"/>
                <w:szCs w:val="20"/>
              </w:rPr>
              <w:t>Študijné materiály: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 elektronické materiály a videá realizácie pokusov, z rozličných internetových stránok a </w:t>
            </w:r>
            <w:proofErr w:type="spellStart"/>
            <w:r w:rsidR="00E4254A">
              <w:rPr>
                <w:rFonts w:asciiTheme="minorHAnsi" w:hAnsiTheme="minorHAnsi" w:cstheme="minorHAnsi"/>
                <w:sz w:val="20"/>
                <w:szCs w:val="20"/>
              </w:rPr>
              <w:t>Youtube</w:t>
            </w:r>
            <w:proofErr w:type="spellEnd"/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,  </w:t>
            </w:r>
          </w:p>
        </w:tc>
      </w:tr>
      <w:tr w:rsidR="007F50D5" w:rsidRPr="00A944CA" w14:paraId="40F42B29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8AAFA" w14:textId="07E1B52B" w:rsidR="007F50D5" w:rsidRDefault="007F50D5" w:rsidP="00DF73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Obsahová náplň workshopu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37C2539E" w:rsidR="007B37E1" w:rsidRPr="00035339" w:rsidRDefault="007B37E1" w:rsidP="00C822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 xml:space="preserve">j </w:t>
            </w:r>
            <w:r w:rsidR="000F2E4F">
              <w:rPr>
                <w:rFonts w:asciiTheme="minorHAnsi" w:hAnsiTheme="minorHAnsi" w:cstheme="minorHAnsi"/>
              </w:rPr>
              <w:t>prírodovednej</w:t>
            </w:r>
            <w:r w:rsidR="00C822D5">
              <w:rPr>
                <w:rFonts w:asciiTheme="minorHAnsi" w:hAnsiTheme="minorHAnsi" w:cstheme="minorHAnsi"/>
              </w:rPr>
              <w:t xml:space="preserve"> a matematickej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F617" w14:textId="77777777" w:rsid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  <w:p w14:paraId="385599B6" w14:textId="2DD696C6" w:rsidR="00D93F38" w:rsidRPr="00A2675A" w:rsidRDefault="00D93F38" w:rsidP="00D93F3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0D63" w14:textId="7D9ACB14" w:rsidR="00D93F38" w:rsidRPr="00845B0C" w:rsidRDefault="00A41461" w:rsidP="00A41461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bádateľskou</w:t>
            </w:r>
            <w:r w:rsid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formou z</w:t>
            </w:r>
            <w:r w:rsidR="00845B0C" w:rsidRPr="00D93F3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íska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va</w:t>
            </w:r>
            <w:r w:rsid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ť</w:t>
            </w:r>
            <w:r w:rsidR="00845B0C" w:rsidRPr="00D93F3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nové poznatky, zručnosti, či spôsobilosti</w:t>
            </w:r>
            <w:r w:rsid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,</w:t>
            </w:r>
            <w:r w:rsidR="00E22A5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</w:t>
            </w:r>
            <w:r w:rsidR="00E22A58" w:rsidRP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prehĺbiť v žiakoch záujem o</w:t>
            </w:r>
            <w:r w:rsidR="00E22A5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skúmanie ako a prečo veci fungujú</w:t>
            </w:r>
            <w:r w:rsidR="00E22A5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,  </w:t>
            </w:r>
          </w:p>
          <w:p w14:paraId="26016904" w14:textId="364043E9" w:rsidR="00845B0C" w:rsidRDefault="00845B0C" w:rsidP="00A41461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 w:rsidRP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rozvíjať </w:t>
            </w:r>
            <w:r w:rsidR="00A41461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prírodovednú</w:t>
            </w:r>
            <w:r w:rsidRP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gramotnosť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žiakov</w:t>
            </w:r>
            <w:r w:rsidRPr="00845B0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</w:t>
            </w:r>
            <w:r w:rsidR="00A41461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experimentálnou formou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pri</w:t>
            </w:r>
            <w:r w:rsidR="00A41461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zostavení vlastnej „aparatúry“ z dostupných školských pomôcok a obyčajných predmetov bežného života a pri analyzovaní výsledkov experimentu</w:t>
            </w:r>
            <w:r w:rsid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,</w:t>
            </w:r>
          </w:p>
          <w:p w14:paraId="6E8B9D5E" w14:textId="62DD0C56" w:rsidR="00A41461" w:rsidRPr="007F50D5" w:rsidRDefault="00A41461" w:rsidP="00A41461">
            <w:pPr>
              <w:pStyle w:val="Odsekzoznamu"/>
              <w:numPr>
                <w:ilvl w:val="0"/>
                <w:numId w:val="15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využiť multidisciplinárny prístup prepojenia vedomostí z viacerých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prírodo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vedných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disciplín, najmä z predmetov </w:t>
            </w:r>
            <w:r w:rsidR="00957ACB">
              <w:rPr>
                <w:rFonts w:asciiTheme="minorHAnsi" w:hAnsiTheme="minorHAnsi" w:cstheme="minorHAnsi"/>
                <w:sz w:val="20"/>
                <w:szCs w:val="20"/>
              </w:rPr>
              <w:t>fyzika,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chémia</w:t>
            </w:r>
            <w:r w:rsidR="00957ACB">
              <w:rPr>
                <w:rFonts w:asciiTheme="minorHAnsi" w:hAnsiTheme="minorHAnsi" w:cstheme="minorHAnsi"/>
                <w:sz w:val="20"/>
                <w:szCs w:val="20"/>
              </w:rPr>
              <w:t xml:space="preserve"> a matematika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55A6933C" w14:textId="178D2CD3" w:rsidR="00B86C5C" w:rsidRDefault="00B86C5C" w:rsidP="00A41461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r</w:t>
            </w:r>
            <w:r w:rsidR="00845B0C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ozvíjať </w:t>
            </w:r>
            <w:r w:rsidR="00F72B3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matematické myslenie</w:t>
            </w:r>
            <w:r w:rsidR="00845B0C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</w:t>
            </w:r>
            <w:r w:rsidR="00F72B3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žiakov </w:t>
            </w:r>
            <w:r w:rsidR="00F72B3A" w:rsidRPr="00F72B3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skúmaním, či sa zmenia výsledky experimentu pri rôznych vstupných podmienkach</w:t>
            </w:r>
            <w:r w:rsidR="00845B0C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;</w:t>
            </w:r>
          </w:p>
          <w:p w14:paraId="430301EC" w14:textId="6016AF18" w:rsidR="00B86C5C" w:rsidRPr="00B86C5C" w:rsidRDefault="009E7EC4" w:rsidP="00A41461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rozvíjať z</w:t>
            </w:r>
            <w:r w:rsidR="00D93F38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ručnosti v oblasti IKT </w:t>
            </w:r>
            <w:r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pri</w:t>
            </w:r>
            <w:r w:rsidR="00D93F38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prác</w:t>
            </w:r>
            <w:r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i s</w:t>
            </w:r>
            <w:r w:rsidR="00AF1BAB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 PC/tabletom/</w:t>
            </w:r>
            <w:r w:rsidR="00F72B3A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notebookom</w:t>
            </w:r>
            <w:r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, </w:t>
            </w:r>
            <w:r w:rsidR="00AF1BAB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pri vyhľadávaní informácií k experimentom na internete</w:t>
            </w:r>
            <w:r w:rsid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,</w:t>
            </w:r>
          </w:p>
          <w:p w14:paraId="3676101A" w14:textId="55A6F459" w:rsidR="00B86C5C" w:rsidRDefault="00F72B3A" w:rsidP="00A41461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rozvíjať sociálne kompetencie žiakov využitím skupinovej</w:t>
            </w:r>
            <w:r w:rsidR="00B60E25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form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y</w:t>
            </w:r>
            <w:r w:rsidR="00B60E25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práce žiakov,</w:t>
            </w:r>
            <w:r w:rsidR="00D93F38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podpor</w:t>
            </w:r>
            <w:r w:rsidR="00B60E25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iť </w:t>
            </w:r>
            <w:r w:rsidR="00D93F38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kooperáciu a komunikatívnosť </w:t>
            </w:r>
            <w:r w:rsidR="00B60E25" w:rsidRPr="00B86C5C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žiakov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,</w:t>
            </w:r>
          </w:p>
          <w:p w14:paraId="46F6BEB2" w14:textId="7BB7E38C" w:rsidR="00F72B3A" w:rsidRPr="00D77904" w:rsidRDefault="00A410AD" w:rsidP="00A410AD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rozvíjať </w:t>
            </w:r>
            <w:r w:rsidRPr="00A410AD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schopnosť argumentovať a prezentovať nadobudnuté fakty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na verejnosti pred ostatnými účastníkmi workshopu aj pred verejnosťou (iní žiaci školy, deviataci základných škôl).</w:t>
            </w:r>
          </w:p>
        </w:tc>
      </w:tr>
      <w:tr w:rsidR="007F50D5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F81A" w14:textId="0AF0BCA5" w:rsidR="00144757" w:rsidRDefault="00052B9C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</w:t>
            </w:r>
            <w:r w:rsidR="007F50D5">
              <w:rPr>
                <w:rFonts w:asciiTheme="minorHAnsi" w:hAnsiTheme="minorHAnsi" w:cstheme="minorHAnsi"/>
              </w:rPr>
              <w:t xml:space="preserve"> workshopu</w:t>
            </w:r>
            <w:r w:rsidR="00DC7D94">
              <w:rPr>
                <w:rFonts w:asciiTheme="minorHAnsi" w:hAnsiTheme="minorHAnsi" w:cstheme="minorHAnsi"/>
              </w:rPr>
              <w:t xml:space="preserve"> </w:t>
            </w:r>
          </w:p>
          <w:p w14:paraId="3AF29DBA" w14:textId="4DAFA4D0" w:rsidR="007F50D5" w:rsidRPr="00A2675A" w:rsidRDefault="007F50D5" w:rsidP="0050718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D76E" w14:textId="08F5CEE6" w:rsidR="00DF7F9F" w:rsidRPr="001E09D8" w:rsidRDefault="00DF7F9F" w:rsidP="00DF7F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Príprava a zostavenie experimentov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(výber experimentov,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>konzul</w:t>
            </w:r>
            <w:r w:rsidR="0050718D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>ácia v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ýberu </w:t>
            </w:r>
            <w:r w:rsidR="0050718D">
              <w:rPr>
                <w:rFonts w:asciiTheme="minorHAnsi" w:hAnsiTheme="minorHAnsi" w:cstheme="minorHAnsi"/>
                <w:sz w:val="20"/>
                <w:szCs w:val="20"/>
              </w:rPr>
              <w:t xml:space="preserve">s učiteľom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vzhľadom na dodržanie BOZP, </w:t>
            </w:r>
            <w:r w:rsidR="0050718D">
              <w:rPr>
                <w:rFonts w:asciiTheme="minorHAnsi" w:hAnsiTheme="minorHAnsi" w:cstheme="minorHAnsi"/>
                <w:sz w:val="20"/>
                <w:szCs w:val="20"/>
              </w:rPr>
              <w:t xml:space="preserve">naštudovanie princípu pomocou elektronických zdrojov a internetových </w:t>
            </w:r>
            <w:proofErr w:type="spellStart"/>
            <w:r w:rsidR="0050718D">
              <w:rPr>
                <w:rFonts w:asciiTheme="minorHAnsi" w:hAnsiTheme="minorHAnsi" w:cstheme="minorHAnsi"/>
                <w:sz w:val="20"/>
                <w:szCs w:val="20"/>
              </w:rPr>
              <w:t>videoukážok</w:t>
            </w:r>
            <w:proofErr w:type="spellEnd"/>
            <w:r w:rsidR="0050718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>príprava materiálu a </w:t>
            </w:r>
            <w:r w:rsidR="0050718D">
              <w:rPr>
                <w:rFonts w:asciiTheme="minorHAnsi" w:hAnsiTheme="minorHAnsi" w:cstheme="minorHAnsi"/>
                <w:sz w:val="20"/>
                <w:szCs w:val="20"/>
              </w:rPr>
              <w:t>pomôcok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  <w:p w14:paraId="0FE16603" w14:textId="4B2E5CA7" w:rsidR="00DF7F9F" w:rsidRPr="001E09D8" w:rsidRDefault="00DF7F9F" w:rsidP="00DF7F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Testovanie experimentov a hľadanie princípu činnosti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 (priebeh pokusov pod dozorom, poučenie o BOZP a bezpečnosti pri práci, likvidácii látok, konzultácia a nácvik prezentácie vysvetlenia experimentu) </w:t>
            </w:r>
          </w:p>
          <w:p w14:paraId="3CB8F3AF" w14:textId="32C60C18" w:rsidR="00DF7F9F" w:rsidRDefault="00DF7F9F" w:rsidP="00DF7F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1E09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3.časť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Prezentácia experimentov na verejnosti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 (rovesnícke </w:t>
            </w:r>
            <w:r w:rsidR="0050718D">
              <w:rPr>
                <w:rFonts w:asciiTheme="minorHAnsi" w:hAnsiTheme="minorHAnsi" w:cstheme="minorHAnsi"/>
                <w:sz w:val="20"/>
                <w:szCs w:val="20"/>
              </w:rPr>
              <w:t>vzdelávanie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 a interaktívna možnosť experimentovania pre verejnosť)</w:t>
            </w:r>
          </w:p>
          <w:p w14:paraId="0899C0D7" w14:textId="4CA557AC" w:rsidR="00DC7D94" w:rsidRPr="00DF7F9F" w:rsidRDefault="00DF7F9F" w:rsidP="00DF7F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F7F9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4.časť</w:t>
            </w:r>
            <w:r w:rsidRPr="00DF7F9F">
              <w:rPr>
                <w:rFonts w:asciiTheme="minorHAnsi" w:hAnsiTheme="minorHAnsi" w:cstheme="minorHAnsi"/>
                <w:sz w:val="20"/>
                <w:szCs w:val="20"/>
              </w:rPr>
              <w:t xml:space="preserve"> – Vyhodnotenie výsledkov experimentov aj </w:t>
            </w:r>
            <w:proofErr w:type="spellStart"/>
            <w:r w:rsidRPr="00DF7F9F">
              <w:rPr>
                <w:rFonts w:asciiTheme="minorHAnsi" w:hAnsiTheme="minorHAnsi" w:cstheme="minorHAnsi"/>
                <w:sz w:val="20"/>
                <w:szCs w:val="20"/>
              </w:rPr>
              <w:t>workshopu</w:t>
            </w:r>
            <w:proofErr w:type="spellEnd"/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F50D5" w:rsidRPr="00A944CA" w14:paraId="22AC9F63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4FD0C" w14:textId="6781F558" w:rsidR="007F50D5" w:rsidRPr="00D93F38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Metodika vzdelávacej aktivity</w:t>
            </w:r>
          </w:p>
        </w:tc>
      </w:tr>
      <w:tr w:rsidR="007F50D5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69CFD99" w:rsidR="007F50D5" w:rsidRDefault="007F50D5" w:rsidP="00E4254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58AD2AFB" w:rsidR="007F50D5" w:rsidRPr="00D93F38" w:rsidRDefault="0050718D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7F50D5" w:rsidRPr="00D93F38">
              <w:rPr>
                <w:rFonts w:asciiTheme="minorHAnsi" w:hAnsiTheme="minorHAnsi" w:cstheme="minorHAnsi"/>
                <w:sz w:val="20"/>
                <w:szCs w:val="20"/>
              </w:rPr>
              <w:t>ýklad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vysvetľo</w:t>
            </w:r>
            <w:r w:rsidR="003B5CCF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anie, </w:t>
            </w: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prednáška,</w:t>
            </w:r>
            <w:r w:rsidR="007F50D5" w:rsidRPr="00D93F38">
              <w:rPr>
                <w:rFonts w:asciiTheme="minorHAnsi" w:hAnsiTheme="minorHAnsi" w:cstheme="minorHAnsi"/>
                <w:sz w:val="20"/>
                <w:szCs w:val="20"/>
              </w:rPr>
              <w:t xml:space="preserve"> prednáška s diskusiou</w:t>
            </w:r>
          </w:p>
          <w:p w14:paraId="7D1E6D88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135CF6F1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707A2AD4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19C9F876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14:paraId="5B66D31F" w14:textId="2B57A96D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diagnostické metódy</w:t>
            </w:r>
          </w:p>
          <w:p w14:paraId="12BE3BAF" w14:textId="75A406DC" w:rsidR="007F50D5" w:rsidRPr="00D93F38" w:rsidRDefault="00DF7F9F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situačné </w:t>
            </w:r>
            <w:r w:rsidR="007F50D5" w:rsidRPr="00D93F38">
              <w:rPr>
                <w:rFonts w:asciiTheme="minorHAnsi" w:hAnsiTheme="minorHAnsi" w:cstheme="minorHAnsi"/>
                <w:sz w:val="20"/>
                <w:szCs w:val="20"/>
              </w:rPr>
              <w:t>metódy</w:t>
            </w:r>
          </w:p>
          <w:p w14:paraId="27045FE0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14:paraId="6DDEC9CC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inštruktáž, asistovanie</w:t>
            </w:r>
          </w:p>
          <w:p w14:paraId="16F08482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93F38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koučing</w:t>
            </w:r>
            <w:proofErr w:type="spellEnd"/>
          </w:p>
          <w:p w14:paraId="412F7206" w14:textId="7C684528" w:rsidR="007F50D5" w:rsidRDefault="00DF7F9F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myšlienkový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brainstorming</w:t>
            </w:r>
            <w:proofErr w:type="spellEnd"/>
          </w:p>
          <w:p w14:paraId="3DBBFCF3" w14:textId="6BD97883" w:rsidR="007F50D5" w:rsidRPr="00A2675A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 xml:space="preserve">zážitkové </w:t>
            </w:r>
            <w:r w:rsidR="00E4254A">
              <w:rPr>
                <w:rFonts w:asciiTheme="minorHAnsi" w:hAnsiTheme="minorHAnsi" w:cstheme="minorHAnsi"/>
                <w:sz w:val="20"/>
                <w:szCs w:val="20"/>
              </w:rPr>
              <w:t xml:space="preserve">a rovesnícke </w:t>
            </w: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učenie</w:t>
            </w:r>
          </w:p>
          <w:p w14:paraId="7BE875A2" w14:textId="72C79D7F" w:rsidR="007F50D5" w:rsidRPr="00DF7F9F" w:rsidRDefault="007F50D5" w:rsidP="00DF7F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didaktické hry</w:t>
            </w:r>
          </w:p>
        </w:tc>
      </w:tr>
      <w:tr w:rsidR="007F50D5" w:rsidRPr="00A944CA" w14:paraId="0516514E" w14:textId="77777777" w:rsidTr="007F50D5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3E98" w14:textId="7B20E938"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Organizačné formy</w:t>
            </w:r>
          </w:p>
          <w:p w14:paraId="1366D2D9" w14:textId="1C62FFA6" w:rsidR="007F50D5" w:rsidRPr="008510C1" w:rsidRDefault="007F50D5" w:rsidP="00052B9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40CA" w14:textId="77777777" w:rsidR="007F50D5" w:rsidRPr="007F50D5" w:rsidRDefault="007F50D5" w:rsidP="007F50D5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Individuálna edukácia</w:t>
            </w:r>
          </w:p>
          <w:p w14:paraId="0C6F9CD2" w14:textId="2B06D397" w:rsidR="00DF7F9F" w:rsidRDefault="00DF7F9F" w:rsidP="007F50D5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Práca 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dvojiciach</w:t>
            </w:r>
          </w:p>
          <w:p w14:paraId="5B6245A0" w14:textId="30DFEC72" w:rsidR="007F50D5" w:rsidRPr="007F50D5" w:rsidRDefault="007F50D5" w:rsidP="007F50D5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6AB38C32" w14:textId="2180B217" w:rsidR="007F50D5" w:rsidRPr="00DF7F9F" w:rsidRDefault="007F50D5" w:rsidP="00DF7F9F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</w:tc>
      </w:tr>
      <w:tr w:rsidR="00DC7D94" w:rsidRPr="00A944CA" w14:paraId="34D76CE5" w14:textId="77777777" w:rsidTr="00F75A9D">
        <w:trPr>
          <w:trHeight w:val="35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0B07B3" w14:textId="77777777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Stručný popis priebehu workshopu</w:t>
            </w:r>
          </w:p>
          <w:p w14:paraId="75005A46" w14:textId="4205FC70" w:rsidR="00052B9C" w:rsidRDefault="00052B9C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9411" w14:textId="341C02C0" w:rsidR="00DC7D94" w:rsidRPr="00DC7D94" w:rsidRDefault="00DC7D94" w:rsidP="007F50D5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DC7D94">
              <w:rPr>
                <w:rFonts w:asciiTheme="minorHAnsi" w:hAnsiTheme="minorHAnsi" w:cstheme="minorHAnsi"/>
                <w:b/>
              </w:rPr>
              <w:t>1.</w:t>
            </w:r>
            <w:r w:rsidR="00052B9C">
              <w:rPr>
                <w:rFonts w:asciiTheme="minorHAnsi" w:hAnsiTheme="minorHAnsi" w:cstheme="minorHAnsi"/>
                <w:b/>
              </w:rPr>
              <w:t xml:space="preserve">časť </w:t>
            </w:r>
            <w:r w:rsidR="00B86C5C">
              <w:rPr>
                <w:rFonts w:asciiTheme="minorHAnsi" w:hAnsiTheme="minorHAnsi" w:cstheme="minorHAnsi"/>
                <w:b/>
              </w:rPr>
              <w:t>–</w:t>
            </w:r>
            <w:r w:rsidR="00052B9C">
              <w:rPr>
                <w:rFonts w:asciiTheme="minorHAnsi" w:hAnsiTheme="minorHAnsi" w:cstheme="minorHAnsi"/>
                <w:b/>
              </w:rPr>
              <w:t xml:space="preserve"> </w:t>
            </w:r>
            <w:r w:rsidR="00A410AD">
              <w:rPr>
                <w:rFonts w:asciiTheme="minorHAnsi" w:hAnsiTheme="minorHAnsi" w:cstheme="minorHAnsi"/>
                <w:b/>
              </w:rPr>
              <w:t xml:space="preserve">PRÍPRAVA A ZOSTAVENIE EXPERIMENTOV </w:t>
            </w:r>
          </w:p>
          <w:p w14:paraId="271A9F7C" w14:textId="3E4BB190" w:rsidR="00DC7D94" w:rsidRDefault="00235196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Trvanie: 1,</w:t>
            </w:r>
            <w:r w:rsidR="009F178B">
              <w:rPr>
                <w:rFonts w:asciiTheme="minorHAnsi" w:hAnsiTheme="minorHAnsi" w:cstheme="minorHAnsi"/>
                <w:bCs/>
              </w:rPr>
              <w:t xml:space="preserve">75 </w:t>
            </w:r>
            <w:r w:rsidR="00DC7D94">
              <w:rPr>
                <w:rFonts w:asciiTheme="minorHAnsi" w:hAnsiTheme="minorHAnsi" w:cstheme="minorHAnsi"/>
                <w:bCs/>
              </w:rPr>
              <w:t>hod</w:t>
            </w:r>
            <w:r w:rsidR="00DC7D94" w:rsidRPr="0043707D">
              <w:rPr>
                <w:rFonts w:asciiTheme="minorHAnsi" w:hAnsiTheme="minorHAnsi" w:cstheme="minorHAnsi"/>
                <w:bCs/>
              </w:rPr>
              <w:t>.</w:t>
            </w:r>
          </w:p>
          <w:p w14:paraId="2E5AE425" w14:textId="7BBC49E0" w:rsidR="00DC7D94" w:rsidRDefault="00DC7D94" w:rsidP="004C4908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učiteľov:</w:t>
            </w:r>
            <w:r w:rsidR="009F178B">
              <w:rPr>
                <w:rFonts w:asciiTheme="minorHAnsi" w:hAnsiTheme="minorHAnsi" w:cstheme="minorHAnsi"/>
                <w:bCs/>
              </w:rPr>
              <w:t xml:space="preserve"> konzultácia, usmernenie, pomoc pri </w:t>
            </w:r>
            <w:proofErr w:type="spellStart"/>
            <w:r w:rsidR="009F178B">
              <w:rPr>
                <w:rFonts w:asciiTheme="minorHAnsi" w:hAnsiTheme="minorHAnsi" w:cstheme="minorHAnsi"/>
                <w:bCs/>
              </w:rPr>
              <w:t>sumarizácii</w:t>
            </w:r>
            <w:proofErr w:type="spellEnd"/>
            <w:r w:rsidR="009F178B">
              <w:rPr>
                <w:rFonts w:asciiTheme="minorHAnsi" w:hAnsiTheme="minorHAnsi" w:cstheme="minorHAnsi"/>
                <w:bCs/>
              </w:rPr>
              <w:t xml:space="preserve"> a príprave pomôcok</w:t>
            </w:r>
            <w:r w:rsidR="00235196">
              <w:rPr>
                <w:rFonts w:asciiTheme="minorHAnsi" w:hAnsiTheme="minorHAnsi" w:cstheme="minorHAnsi"/>
                <w:bCs/>
              </w:rPr>
              <w:t xml:space="preserve">, poučenie o BOZP pri práci, príprava ochranných pomôcok </w:t>
            </w:r>
          </w:p>
          <w:p w14:paraId="29942EE2" w14:textId="02EE3D83" w:rsidR="00DC7D94" w:rsidRPr="00DC7D94" w:rsidRDefault="00DC7D94" w:rsidP="004C4908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žiakov: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hľadanie vhodných experimentov, práca s internetom, š</w:t>
            </w:r>
            <w:r w:rsidR="004C4908">
              <w:rPr>
                <w:rFonts w:asciiTheme="minorHAnsi" w:hAnsiTheme="minorHAnsi" w:cstheme="minorHAnsi"/>
                <w:bCs/>
              </w:rPr>
              <w:t>t</w:t>
            </w:r>
            <w:r w:rsidR="00235196">
              <w:rPr>
                <w:rFonts w:asciiTheme="minorHAnsi" w:hAnsiTheme="minorHAnsi" w:cstheme="minorHAnsi"/>
                <w:bCs/>
              </w:rPr>
              <w:t>údium inštruktážnych videí, príprava pracovných materiálov so zápisom pomôcok</w:t>
            </w:r>
          </w:p>
        </w:tc>
      </w:tr>
      <w:tr w:rsidR="00DC7D94" w:rsidRPr="00A944CA" w14:paraId="34F7D393" w14:textId="77777777" w:rsidTr="00F75A9D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7F627" w14:textId="77777777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FD69F" w14:textId="0A05710B" w:rsidR="00DC7D94" w:rsidRPr="00DC7D94" w:rsidRDefault="00052B9C" w:rsidP="00DC7D9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2.časť </w:t>
            </w:r>
            <w:r w:rsidR="00B86C5C">
              <w:rPr>
                <w:rFonts w:asciiTheme="minorHAnsi" w:hAnsiTheme="minorHAnsi" w:cstheme="minorHAnsi"/>
                <w:b/>
              </w:rPr>
              <w:t xml:space="preserve">– </w:t>
            </w:r>
            <w:r w:rsidR="00A410AD">
              <w:rPr>
                <w:rFonts w:asciiTheme="minorHAnsi" w:hAnsiTheme="minorHAnsi" w:cstheme="minorHAnsi"/>
                <w:b/>
              </w:rPr>
              <w:t xml:space="preserve">TESTOVANIE EXPERIMENTOV A HĽADANIE PRINCÍPU ČINNOSTI </w:t>
            </w:r>
          </w:p>
          <w:p w14:paraId="2DC9538D" w14:textId="3EE36AC9" w:rsidR="00DC7D94" w:rsidRDefault="009F178B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Trvanie: 0,75 </w:t>
            </w:r>
            <w:r w:rsidR="00DC7D94">
              <w:rPr>
                <w:rFonts w:asciiTheme="minorHAnsi" w:hAnsiTheme="minorHAnsi" w:cstheme="minorHAnsi"/>
                <w:bCs/>
              </w:rPr>
              <w:t>hod.</w:t>
            </w:r>
          </w:p>
          <w:p w14:paraId="5C6A1485" w14:textId="30D91928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učiteľov: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odborný dohľad, zabezpečenie BOZP, </w:t>
            </w:r>
            <w:r w:rsidR="004C4908">
              <w:rPr>
                <w:rFonts w:asciiTheme="minorHAnsi" w:hAnsiTheme="minorHAnsi" w:cstheme="minorHAnsi"/>
                <w:bCs/>
              </w:rPr>
              <w:t xml:space="preserve">konzultácia, diskusia/rozhovor s prezentujúcimi k javom, korekcia správnosti postupov, konfrontácia zistení </w:t>
            </w:r>
          </w:p>
          <w:p w14:paraId="58FB1F97" w14:textId="5B34BC5C" w:rsidR="00DC7D94" w:rsidRPr="00210183" w:rsidRDefault="00DC7D94" w:rsidP="006217FE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Činnosti žiakov: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pozorovanie, premiéra experimentov, hľadanie princípov činnosti</w:t>
            </w:r>
            <w:r w:rsidR="006217FE">
              <w:rPr>
                <w:rFonts w:asciiTheme="minorHAnsi" w:hAnsiTheme="minorHAnsi" w:cstheme="minorHAnsi"/>
                <w:bCs/>
              </w:rPr>
              <w:t xml:space="preserve"> a ich </w:t>
            </w:r>
            <w:r w:rsidR="00235196">
              <w:rPr>
                <w:rFonts w:asciiTheme="minorHAnsi" w:hAnsiTheme="minorHAnsi" w:cstheme="minorHAnsi"/>
                <w:bCs/>
              </w:rPr>
              <w:t xml:space="preserve">konfrontácia s dostupnými zdrojmi, konzultácia správnosti </w:t>
            </w:r>
            <w:r w:rsidR="004C4908">
              <w:rPr>
                <w:rFonts w:asciiTheme="minorHAnsi" w:hAnsiTheme="minorHAnsi" w:cstheme="minorHAnsi"/>
                <w:bCs/>
              </w:rPr>
              <w:t xml:space="preserve">postupov, princípov činností a vysvetlení </w:t>
            </w:r>
            <w:r w:rsidR="00235196">
              <w:rPr>
                <w:rFonts w:asciiTheme="minorHAnsi" w:hAnsiTheme="minorHAnsi" w:cstheme="minorHAnsi"/>
                <w:bCs/>
              </w:rPr>
              <w:t xml:space="preserve">s učiteľom, </w:t>
            </w:r>
          </w:p>
        </w:tc>
      </w:tr>
      <w:tr w:rsidR="00DC7D94" w:rsidRPr="00A944CA" w14:paraId="1892DF6A" w14:textId="77777777" w:rsidTr="00F75A9D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DE88E" w14:textId="77777777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1252" w14:textId="120D5035" w:rsidR="00DC7D94" w:rsidRPr="00DC7D94" w:rsidRDefault="00DC7D94" w:rsidP="00DC7D9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  <w:r w:rsidRPr="00DC7D94">
              <w:rPr>
                <w:rFonts w:asciiTheme="minorHAnsi" w:hAnsiTheme="minorHAnsi" w:cstheme="minorHAnsi"/>
                <w:b/>
              </w:rPr>
              <w:t>.</w:t>
            </w:r>
            <w:r w:rsidR="00052B9C">
              <w:rPr>
                <w:rFonts w:asciiTheme="minorHAnsi" w:hAnsiTheme="minorHAnsi" w:cstheme="minorHAnsi"/>
                <w:b/>
              </w:rPr>
              <w:t>časť</w:t>
            </w:r>
            <w:r w:rsidR="00B86C5C">
              <w:rPr>
                <w:rFonts w:asciiTheme="minorHAnsi" w:hAnsiTheme="minorHAnsi" w:cstheme="minorHAnsi"/>
                <w:b/>
              </w:rPr>
              <w:t xml:space="preserve"> – </w:t>
            </w:r>
            <w:r w:rsidR="00A410AD">
              <w:rPr>
                <w:rFonts w:asciiTheme="minorHAnsi" w:hAnsiTheme="minorHAnsi" w:cstheme="minorHAnsi"/>
                <w:b/>
              </w:rPr>
              <w:t>PREZENTOVANIE EXPERIMENTOV</w:t>
            </w:r>
            <w:r w:rsidR="00AC02FB">
              <w:rPr>
                <w:rFonts w:asciiTheme="minorHAnsi" w:hAnsiTheme="minorHAnsi" w:cstheme="minorHAnsi"/>
                <w:b/>
              </w:rPr>
              <w:t xml:space="preserve"> NA VEREJNOSTI</w:t>
            </w:r>
          </w:p>
          <w:p w14:paraId="7E5B94AC" w14:textId="718E2872" w:rsidR="00DC7D94" w:rsidRDefault="0050718D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Trvanie: </w:t>
            </w:r>
            <w:r w:rsidR="009F178B">
              <w:rPr>
                <w:rFonts w:asciiTheme="minorHAnsi" w:hAnsiTheme="minorHAnsi" w:cstheme="minorHAnsi"/>
                <w:bCs/>
              </w:rPr>
              <w:t xml:space="preserve"> </w:t>
            </w:r>
            <w:r w:rsidR="000812C9">
              <w:rPr>
                <w:rFonts w:asciiTheme="minorHAnsi" w:hAnsiTheme="minorHAnsi" w:cstheme="minorHAnsi"/>
                <w:bCs/>
              </w:rPr>
              <w:t>3</w:t>
            </w:r>
            <w:r w:rsidR="009F178B">
              <w:rPr>
                <w:rFonts w:asciiTheme="minorHAnsi" w:hAnsiTheme="minorHAnsi" w:cstheme="minorHAnsi"/>
                <w:bCs/>
              </w:rPr>
              <w:t xml:space="preserve"> </w:t>
            </w:r>
            <w:r w:rsidR="00DC7D94">
              <w:rPr>
                <w:rFonts w:asciiTheme="minorHAnsi" w:hAnsiTheme="minorHAnsi" w:cstheme="minorHAnsi"/>
                <w:bCs/>
              </w:rPr>
              <w:t>hod.</w:t>
            </w:r>
          </w:p>
          <w:p w14:paraId="4B0EF418" w14:textId="08BA8EB4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učiteľov: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odborný a pedagogický dohľad, zabezpečenie BOZP</w:t>
            </w:r>
            <w:r w:rsidR="004C4908">
              <w:rPr>
                <w:rFonts w:asciiTheme="minorHAnsi" w:hAnsiTheme="minorHAnsi" w:cstheme="minorHAnsi"/>
                <w:bCs/>
              </w:rPr>
              <w:t>, kontrola dodržiavania harmonogramu</w:t>
            </w:r>
            <w:r w:rsidR="00431811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10BF5E57" w14:textId="78014723" w:rsidR="00DC7D94" w:rsidRPr="00210183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Činnosti žiakov: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</w:t>
            </w:r>
            <w:r w:rsidR="00235196">
              <w:rPr>
                <w:rFonts w:asciiTheme="minorHAnsi" w:hAnsiTheme="minorHAnsi" w:cstheme="minorHAnsi"/>
                <w:bCs/>
              </w:rPr>
              <w:t>realizácia experimentov pred rovesní</w:t>
            </w:r>
            <w:r w:rsidR="004C4908">
              <w:rPr>
                <w:rFonts w:asciiTheme="minorHAnsi" w:hAnsiTheme="minorHAnsi" w:cstheme="minorHAnsi"/>
                <w:bCs/>
              </w:rPr>
              <w:t>k</w:t>
            </w:r>
            <w:r w:rsidR="00235196">
              <w:rPr>
                <w:rFonts w:asciiTheme="minorHAnsi" w:hAnsiTheme="minorHAnsi" w:cstheme="minorHAnsi"/>
                <w:bCs/>
              </w:rPr>
              <w:t>mi a inými žiakmi školy a externými účastníkmi základných škôl podľa harmonogramu,</w:t>
            </w:r>
          </w:p>
        </w:tc>
      </w:tr>
      <w:tr w:rsidR="00DC7D94" w:rsidRPr="00A944CA" w14:paraId="7373117C" w14:textId="77777777" w:rsidTr="00A969B1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76C7B" w14:textId="77777777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A427" w14:textId="18D2BC4B" w:rsidR="00DC7D94" w:rsidRPr="00DC7D94" w:rsidRDefault="00DC7D94" w:rsidP="00DC7D9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  <w:r w:rsidRPr="00DC7D94">
              <w:rPr>
                <w:rFonts w:asciiTheme="minorHAnsi" w:hAnsiTheme="minorHAnsi" w:cstheme="minorHAnsi"/>
                <w:b/>
              </w:rPr>
              <w:t>.</w:t>
            </w:r>
            <w:r w:rsidR="00052B9C">
              <w:rPr>
                <w:rFonts w:asciiTheme="minorHAnsi" w:hAnsiTheme="minorHAnsi" w:cstheme="minorHAnsi"/>
                <w:b/>
              </w:rPr>
              <w:t>časť</w:t>
            </w:r>
            <w:r w:rsidR="00B86C5C">
              <w:rPr>
                <w:rFonts w:asciiTheme="minorHAnsi" w:hAnsiTheme="minorHAnsi" w:cstheme="minorHAnsi"/>
                <w:b/>
              </w:rPr>
              <w:t xml:space="preserve">  – </w:t>
            </w:r>
            <w:r w:rsidR="00A410AD">
              <w:rPr>
                <w:rFonts w:asciiTheme="minorHAnsi" w:hAnsiTheme="minorHAnsi" w:cstheme="minorHAnsi"/>
                <w:b/>
              </w:rPr>
              <w:t>VYHODNOTENIE VÝSLEDKOV EXPERIMENTOV AJ WORKSHOPU</w:t>
            </w:r>
          </w:p>
          <w:p w14:paraId="7DCB66E6" w14:textId="3CDF37CF" w:rsidR="00DC7D94" w:rsidRDefault="00DC7D94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 w:rsidR="000812C9">
              <w:rPr>
                <w:rFonts w:asciiTheme="minorHAnsi" w:hAnsiTheme="minorHAnsi" w:cstheme="minorHAnsi"/>
                <w:bCs/>
              </w:rPr>
              <w:t>0,5 hod.</w:t>
            </w:r>
          </w:p>
          <w:p w14:paraId="7B4F2AE9" w14:textId="7D594E4D" w:rsidR="009F178B" w:rsidRDefault="00DC7D94" w:rsidP="009F178B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Činnosti učiteľov:</w:t>
            </w:r>
            <w:r w:rsidR="009F178B">
              <w:rPr>
                <w:rFonts w:asciiTheme="minorHAnsi" w:hAnsiTheme="minorHAnsi" w:cstheme="minorHAnsi"/>
                <w:bCs/>
              </w:rPr>
              <w:t xml:space="preserve"> zber údajov, diskusia organizátorov k</w:t>
            </w:r>
            <w:r w:rsidR="004C4908">
              <w:rPr>
                <w:rFonts w:asciiTheme="minorHAnsi" w:hAnsiTheme="minorHAnsi" w:cstheme="minorHAnsi"/>
                <w:bCs/>
              </w:rPr>
              <w:t> </w:t>
            </w:r>
            <w:r w:rsidR="009F178B">
              <w:rPr>
                <w:rFonts w:asciiTheme="minorHAnsi" w:hAnsiTheme="minorHAnsi" w:cstheme="minorHAnsi"/>
                <w:bCs/>
              </w:rPr>
              <w:t>vyhodnoteniu</w:t>
            </w:r>
            <w:r w:rsidR="004C4908">
              <w:rPr>
                <w:rFonts w:asciiTheme="minorHAnsi" w:hAnsiTheme="minorHAnsi" w:cstheme="minorHAnsi"/>
                <w:bCs/>
              </w:rPr>
              <w:t>, oficiálna časť k vyhodnoteniu,</w:t>
            </w:r>
            <w:r w:rsidR="009F178B">
              <w:rPr>
                <w:rFonts w:asciiTheme="minorHAnsi" w:hAnsiTheme="minorHAnsi" w:cstheme="minorHAnsi"/>
                <w:bCs/>
              </w:rPr>
              <w:t xml:space="preserve"> vypisovanie diplomov, odovzdávanie cien</w:t>
            </w:r>
            <w:r w:rsidR="00235196">
              <w:rPr>
                <w:rFonts w:asciiTheme="minorHAnsi" w:hAnsiTheme="minorHAnsi" w:cstheme="minorHAnsi"/>
                <w:bCs/>
              </w:rPr>
              <w:t>, rozdávanie dotazníkov spätnej väzby</w:t>
            </w:r>
          </w:p>
          <w:p w14:paraId="49B9AEC8" w14:textId="0CE83759" w:rsidR="00DC7D94" w:rsidRPr="00210183" w:rsidRDefault="00DC7D94" w:rsidP="009F178B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Činnosti žiakov:</w:t>
            </w:r>
            <w:r w:rsidR="00235196">
              <w:rPr>
                <w:rFonts w:asciiTheme="minorHAnsi" w:hAnsiTheme="minorHAnsi" w:cstheme="minorHAnsi"/>
                <w:bCs/>
              </w:rPr>
              <w:t xml:space="preserve"> vyplnenie dotazníkov spätnej väzby</w:t>
            </w:r>
          </w:p>
        </w:tc>
      </w:tr>
      <w:tr w:rsidR="00144757" w:rsidRPr="00A944CA" w14:paraId="3495FD03" w14:textId="77777777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5A3AFF" w14:textId="18842A9F" w:rsidR="00144757" w:rsidRPr="00210183" w:rsidRDefault="00144757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44757">
              <w:rPr>
                <w:rFonts w:asciiTheme="minorHAnsi" w:hAnsiTheme="minorHAnsi" w:cstheme="minorHAnsi"/>
                <w:b/>
                <w:caps/>
              </w:rPr>
              <w:t>Meranie zlepšenia zručností a zvýšenia gramotnosti</w:t>
            </w:r>
          </w:p>
        </w:tc>
      </w:tr>
      <w:tr w:rsidR="00144757" w:rsidRPr="00A944CA" w14:paraId="72C0106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677" w14:textId="0B5B20CD" w:rsidR="00052B9C" w:rsidRDefault="00144757" w:rsidP="00070A40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F780" w14:textId="77777777"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vzdelávania, 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postaven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na individuálnom testovaní žiakov</w:t>
            </w:r>
          </w:p>
          <w:p w14:paraId="29B6D746" w14:textId="77777777"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testovacích nástrojov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666D4FF3" w14:textId="77777777"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pozorovanie</w:t>
            </w:r>
          </w:p>
          <w:p w14:paraId="0AA10DF9" w14:textId="77777777"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5FA1C420" w14:textId="516A829C" w:rsidR="00144757" w:rsidRPr="00144757" w:rsidRDefault="00552B4E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 realizácia </w:t>
            </w:r>
            <w:r w:rsidR="00144757" w:rsidRPr="00144757">
              <w:rPr>
                <w:rFonts w:asciiTheme="minorHAnsi" w:hAnsiTheme="minorHAnsi" w:cstheme="minorHAnsi"/>
                <w:sz w:val="20"/>
                <w:szCs w:val="20"/>
              </w:rPr>
              <w:t>pokus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ov</w:t>
            </w:r>
          </w:p>
          <w:p w14:paraId="63454049" w14:textId="5B75059A" w:rsidR="00552B4E" w:rsidRPr="00552B4E" w:rsidRDefault="00552B4E" w:rsidP="00552B4E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metóda otázok a odpovedí </w:t>
            </w:r>
            <w:r w:rsidRPr="00552B4E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</w:tr>
      <w:tr w:rsidR="00815A1D" w:rsidRPr="00A944CA" w14:paraId="72F097CD" w14:textId="77777777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F25696" w14:textId="4E9D4DB8" w:rsidR="00815A1D" w:rsidRPr="00210183" w:rsidRDefault="00815A1D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15A1D">
              <w:rPr>
                <w:rFonts w:asciiTheme="minorHAnsi" w:hAnsiTheme="minorHAnsi" w:cstheme="minorHAnsi"/>
                <w:b/>
                <w:caps/>
              </w:rPr>
              <w:t>metodika pre zbieranie spätnej väzby</w:t>
            </w:r>
          </w:p>
        </w:tc>
      </w:tr>
      <w:tr w:rsidR="00815A1D" w:rsidRPr="00A944CA" w14:paraId="16A85BD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0BCD" w14:textId="494C3779" w:rsidR="00815A1D" w:rsidRDefault="00815A1D" w:rsidP="00815A1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činnosťou</w:t>
            </w:r>
            <w:r w:rsidR="00DF7F9F">
              <w:rPr>
                <w:rFonts w:asciiTheme="minorHAnsi" w:hAnsiTheme="minorHAnsi" w:cstheme="minorHAnsi"/>
              </w:rPr>
              <w:t xml:space="preserve"> na zážitkovom </w:t>
            </w:r>
            <w:proofErr w:type="spellStart"/>
            <w:r w:rsidR="00DF7F9F">
              <w:rPr>
                <w:rFonts w:asciiTheme="minorHAnsi" w:hAnsiTheme="minorHAnsi" w:cstheme="minorHAnsi"/>
              </w:rPr>
              <w:t>workshope</w:t>
            </w:r>
            <w:proofErr w:type="spellEnd"/>
          </w:p>
          <w:p w14:paraId="5EC1D5ED" w14:textId="0BE0C758" w:rsidR="00052B9C" w:rsidRDefault="00052B9C" w:rsidP="00815A1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77A8" w14:textId="77777777"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0BA33C1B" w14:textId="77777777"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4D38C9F3" w14:textId="327349BE" w:rsidR="00DC7D94" w:rsidRPr="00DF7F9F" w:rsidRDefault="00815A1D" w:rsidP="00DF7F9F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  <w:r w:rsidR="00DF7F9F">
              <w:rPr>
                <w:rFonts w:asciiTheme="minorHAnsi" w:hAnsiTheme="minorHAnsi" w:cstheme="minorHAnsi"/>
                <w:sz w:val="20"/>
                <w:szCs w:val="20"/>
              </w:rPr>
              <w:t xml:space="preserve"> s následným vyhodnotením</w:t>
            </w:r>
          </w:p>
        </w:tc>
      </w:tr>
    </w:tbl>
    <w:p w14:paraId="2EB6EF20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BFD8033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487B50A" w14:textId="4351331F" w:rsidR="00D316EA" w:rsidRPr="00DC7D94" w:rsidRDefault="00DC7D94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FC7FE3">
        <w:rPr>
          <w:rFonts w:asciiTheme="minorHAnsi" w:hAnsiTheme="minorHAnsi" w:cs="Arial"/>
          <w:bCs/>
        </w:rPr>
        <w:t>03</w:t>
      </w:r>
      <w:r w:rsidR="00B86C5C">
        <w:rPr>
          <w:rFonts w:asciiTheme="minorHAnsi" w:hAnsiTheme="minorHAnsi" w:cs="Arial"/>
          <w:bCs/>
        </w:rPr>
        <w:t>.02.2020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 xml:space="preserve"> </w:t>
      </w:r>
      <w:r>
        <w:rPr>
          <w:rFonts w:asciiTheme="minorHAnsi" w:hAnsiTheme="minorHAnsi" w:cs="Arial"/>
          <w:bCs/>
        </w:rPr>
        <w:tab/>
      </w:r>
      <w:r w:rsidR="00B86C5C">
        <w:rPr>
          <w:rFonts w:asciiTheme="minorHAnsi" w:hAnsiTheme="minorHAnsi" w:cs="Arial"/>
          <w:bCs/>
        </w:rPr>
        <w:t xml:space="preserve">RNDr. </w:t>
      </w:r>
      <w:r w:rsidR="00FC7FE3">
        <w:rPr>
          <w:rFonts w:asciiTheme="minorHAnsi" w:hAnsiTheme="minorHAnsi" w:cs="Arial"/>
          <w:bCs/>
        </w:rPr>
        <w:t xml:space="preserve">Lenka </w:t>
      </w:r>
      <w:proofErr w:type="spellStart"/>
      <w:r w:rsidR="00FC7FE3">
        <w:rPr>
          <w:rFonts w:asciiTheme="minorHAnsi" w:hAnsiTheme="minorHAnsi" w:cs="Arial"/>
          <w:bCs/>
        </w:rPr>
        <w:t>Škarbeková</w:t>
      </w:r>
      <w:proofErr w:type="spellEnd"/>
    </w:p>
    <w:sectPr w:rsidR="00D316EA" w:rsidRPr="00DC7D94" w:rsidSect="00052B9C">
      <w:footerReference w:type="default" r:id="rId14"/>
      <w:footerReference w:type="first" r:id="rId15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38A56" w14:textId="77777777" w:rsidR="007D62F4" w:rsidRDefault="007D62F4" w:rsidP="00CB038C">
      <w:r>
        <w:separator/>
      </w:r>
    </w:p>
  </w:endnote>
  <w:endnote w:type="continuationSeparator" w:id="0">
    <w:p w14:paraId="084E90A9" w14:textId="77777777" w:rsidR="007D62F4" w:rsidRDefault="007D62F4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54280"/>
      <w:docPartObj>
        <w:docPartGallery w:val="Page Numbers (Bottom of Page)"/>
        <w:docPartUnique/>
      </w:docPartObj>
    </w:sdtPr>
    <w:sdtEndPr/>
    <w:sdtContent>
      <w:p w14:paraId="5DC7FC2B" w14:textId="7AA9F972" w:rsidR="00052B9C" w:rsidRDefault="00052B9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FE">
          <w:rPr>
            <w:noProof/>
          </w:rPr>
          <w:t>2</w:t>
        </w:r>
        <w:r>
          <w:fldChar w:fldCharType="end"/>
        </w:r>
      </w:p>
    </w:sdtContent>
  </w:sdt>
  <w:p w14:paraId="20C9BBCD" w14:textId="1736DBD4" w:rsidR="00CB038C" w:rsidRPr="00052B9C" w:rsidRDefault="00CB038C" w:rsidP="00052B9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38804" w14:textId="41641594" w:rsidR="00052B9C" w:rsidRPr="00A6166C" w:rsidRDefault="00052B9C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C85D8E5" w14:textId="77777777" w:rsidR="00052B9C" w:rsidRDefault="00052B9C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45DEA20E" w14:textId="77777777" w:rsidR="00052B9C" w:rsidRPr="00CB038C" w:rsidRDefault="00052B9C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7527AA45" w14:textId="2E9C01F3" w:rsidR="00052B9C" w:rsidRDefault="00052B9C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2446F" w14:textId="77777777" w:rsidR="007D62F4" w:rsidRDefault="007D62F4" w:rsidP="00CB038C">
      <w:r>
        <w:separator/>
      </w:r>
    </w:p>
  </w:footnote>
  <w:footnote w:type="continuationSeparator" w:id="0">
    <w:p w14:paraId="17859C9F" w14:textId="77777777" w:rsidR="007D62F4" w:rsidRDefault="007D62F4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4F644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2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23"/>
  </w:num>
  <w:num w:numId="5">
    <w:abstractNumId w:val="19"/>
  </w:num>
  <w:num w:numId="6">
    <w:abstractNumId w:val="6"/>
  </w:num>
  <w:num w:numId="7">
    <w:abstractNumId w:val="14"/>
  </w:num>
  <w:num w:numId="8">
    <w:abstractNumId w:val="18"/>
  </w:num>
  <w:num w:numId="9">
    <w:abstractNumId w:val="12"/>
  </w:num>
  <w:num w:numId="10">
    <w:abstractNumId w:val="1"/>
  </w:num>
  <w:num w:numId="11">
    <w:abstractNumId w:val="16"/>
  </w:num>
  <w:num w:numId="12">
    <w:abstractNumId w:val="10"/>
  </w:num>
  <w:num w:numId="13">
    <w:abstractNumId w:val="20"/>
  </w:num>
  <w:num w:numId="14">
    <w:abstractNumId w:val="22"/>
  </w:num>
  <w:num w:numId="15">
    <w:abstractNumId w:val="17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1"/>
  </w:num>
  <w:num w:numId="21">
    <w:abstractNumId w:val="3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3B9D"/>
    <w:rsid w:val="00006CB1"/>
    <w:rsid w:val="000150C9"/>
    <w:rsid w:val="000211CA"/>
    <w:rsid w:val="00035339"/>
    <w:rsid w:val="00041473"/>
    <w:rsid w:val="00046A84"/>
    <w:rsid w:val="00052B9C"/>
    <w:rsid w:val="00070A40"/>
    <w:rsid w:val="00073455"/>
    <w:rsid w:val="000812C9"/>
    <w:rsid w:val="00081595"/>
    <w:rsid w:val="00092289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10052E"/>
    <w:rsid w:val="001308FB"/>
    <w:rsid w:val="00131C66"/>
    <w:rsid w:val="00144757"/>
    <w:rsid w:val="0014623E"/>
    <w:rsid w:val="0016036D"/>
    <w:rsid w:val="001733DB"/>
    <w:rsid w:val="001752AE"/>
    <w:rsid w:val="00176160"/>
    <w:rsid w:val="00191BBC"/>
    <w:rsid w:val="001B31CC"/>
    <w:rsid w:val="001F1631"/>
    <w:rsid w:val="00201E83"/>
    <w:rsid w:val="00203278"/>
    <w:rsid w:val="00204B95"/>
    <w:rsid w:val="00210183"/>
    <w:rsid w:val="0021787C"/>
    <w:rsid w:val="00233C0A"/>
    <w:rsid w:val="00235196"/>
    <w:rsid w:val="00237ECF"/>
    <w:rsid w:val="002456EC"/>
    <w:rsid w:val="002478FB"/>
    <w:rsid w:val="00261409"/>
    <w:rsid w:val="0026608A"/>
    <w:rsid w:val="00273797"/>
    <w:rsid w:val="00296DA0"/>
    <w:rsid w:val="00297BBB"/>
    <w:rsid w:val="002B213C"/>
    <w:rsid w:val="002B7468"/>
    <w:rsid w:val="003145E0"/>
    <w:rsid w:val="00316E67"/>
    <w:rsid w:val="00335EB7"/>
    <w:rsid w:val="003514ED"/>
    <w:rsid w:val="00355759"/>
    <w:rsid w:val="00371748"/>
    <w:rsid w:val="00373F4E"/>
    <w:rsid w:val="003760DD"/>
    <w:rsid w:val="003929C4"/>
    <w:rsid w:val="003959A0"/>
    <w:rsid w:val="003B5CCF"/>
    <w:rsid w:val="003C125A"/>
    <w:rsid w:val="003D57FE"/>
    <w:rsid w:val="003E2093"/>
    <w:rsid w:val="003E3EDA"/>
    <w:rsid w:val="0040215E"/>
    <w:rsid w:val="00403DB3"/>
    <w:rsid w:val="00404657"/>
    <w:rsid w:val="00411F0C"/>
    <w:rsid w:val="00430526"/>
    <w:rsid w:val="00431811"/>
    <w:rsid w:val="00434852"/>
    <w:rsid w:val="0043707D"/>
    <w:rsid w:val="0045301E"/>
    <w:rsid w:val="00462EFB"/>
    <w:rsid w:val="004C0CC7"/>
    <w:rsid w:val="004C4908"/>
    <w:rsid w:val="004D153F"/>
    <w:rsid w:val="004D6002"/>
    <w:rsid w:val="004E53A2"/>
    <w:rsid w:val="004E53F2"/>
    <w:rsid w:val="004F3628"/>
    <w:rsid w:val="0050718D"/>
    <w:rsid w:val="0052071C"/>
    <w:rsid w:val="0053076C"/>
    <w:rsid w:val="00551913"/>
    <w:rsid w:val="00552B4E"/>
    <w:rsid w:val="00565407"/>
    <w:rsid w:val="00593D12"/>
    <w:rsid w:val="005A4F2C"/>
    <w:rsid w:val="005B5DB0"/>
    <w:rsid w:val="005C0ABB"/>
    <w:rsid w:val="005C2177"/>
    <w:rsid w:val="005C4B38"/>
    <w:rsid w:val="005D3954"/>
    <w:rsid w:val="005F703B"/>
    <w:rsid w:val="00613EB8"/>
    <w:rsid w:val="006217FE"/>
    <w:rsid w:val="00646AC1"/>
    <w:rsid w:val="0067238A"/>
    <w:rsid w:val="006A1BAA"/>
    <w:rsid w:val="006A7392"/>
    <w:rsid w:val="006A7AF2"/>
    <w:rsid w:val="006C182B"/>
    <w:rsid w:val="006D1FA4"/>
    <w:rsid w:val="006D5896"/>
    <w:rsid w:val="006D61B8"/>
    <w:rsid w:val="00710181"/>
    <w:rsid w:val="007130AB"/>
    <w:rsid w:val="00781328"/>
    <w:rsid w:val="0078186D"/>
    <w:rsid w:val="0078268E"/>
    <w:rsid w:val="007A0E29"/>
    <w:rsid w:val="007A7D43"/>
    <w:rsid w:val="007B37E1"/>
    <w:rsid w:val="007B6E68"/>
    <w:rsid w:val="007C6D79"/>
    <w:rsid w:val="007D62F4"/>
    <w:rsid w:val="007F0304"/>
    <w:rsid w:val="007F50D5"/>
    <w:rsid w:val="007F5582"/>
    <w:rsid w:val="00812DB3"/>
    <w:rsid w:val="00815A1D"/>
    <w:rsid w:val="00835431"/>
    <w:rsid w:val="00845B0C"/>
    <w:rsid w:val="008510C1"/>
    <w:rsid w:val="00852255"/>
    <w:rsid w:val="00865D9B"/>
    <w:rsid w:val="00872593"/>
    <w:rsid w:val="0087660A"/>
    <w:rsid w:val="00897349"/>
    <w:rsid w:val="008A04BE"/>
    <w:rsid w:val="008C6C18"/>
    <w:rsid w:val="008C78BE"/>
    <w:rsid w:val="008D234D"/>
    <w:rsid w:val="008D3293"/>
    <w:rsid w:val="00900F86"/>
    <w:rsid w:val="0093004A"/>
    <w:rsid w:val="0093525B"/>
    <w:rsid w:val="009400F1"/>
    <w:rsid w:val="00942C0D"/>
    <w:rsid w:val="00944915"/>
    <w:rsid w:val="00952024"/>
    <w:rsid w:val="009543F9"/>
    <w:rsid w:val="0095627F"/>
    <w:rsid w:val="00957ACB"/>
    <w:rsid w:val="00973041"/>
    <w:rsid w:val="00977056"/>
    <w:rsid w:val="0098429C"/>
    <w:rsid w:val="00986AFD"/>
    <w:rsid w:val="009B1216"/>
    <w:rsid w:val="009B2797"/>
    <w:rsid w:val="009C3482"/>
    <w:rsid w:val="009C6C16"/>
    <w:rsid w:val="009D07EB"/>
    <w:rsid w:val="009D33F1"/>
    <w:rsid w:val="009D5B17"/>
    <w:rsid w:val="009E1E01"/>
    <w:rsid w:val="009E31FA"/>
    <w:rsid w:val="009E7EC4"/>
    <w:rsid w:val="009F178B"/>
    <w:rsid w:val="00A15E4D"/>
    <w:rsid w:val="00A17D4A"/>
    <w:rsid w:val="00A2675A"/>
    <w:rsid w:val="00A410AD"/>
    <w:rsid w:val="00A41461"/>
    <w:rsid w:val="00A715CB"/>
    <w:rsid w:val="00A71B04"/>
    <w:rsid w:val="00A82C5D"/>
    <w:rsid w:val="00A944CA"/>
    <w:rsid w:val="00A950CD"/>
    <w:rsid w:val="00AB52AF"/>
    <w:rsid w:val="00AB713C"/>
    <w:rsid w:val="00AC02FB"/>
    <w:rsid w:val="00AC5E6F"/>
    <w:rsid w:val="00AD51A3"/>
    <w:rsid w:val="00AF1BAB"/>
    <w:rsid w:val="00AF26F7"/>
    <w:rsid w:val="00AF7041"/>
    <w:rsid w:val="00B126D6"/>
    <w:rsid w:val="00B1303F"/>
    <w:rsid w:val="00B23A29"/>
    <w:rsid w:val="00B42DD9"/>
    <w:rsid w:val="00B43BBB"/>
    <w:rsid w:val="00B60E25"/>
    <w:rsid w:val="00B7680C"/>
    <w:rsid w:val="00B86C5C"/>
    <w:rsid w:val="00B929E1"/>
    <w:rsid w:val="00B949EB"/>
    <w:rsid w:val="00BA2A13"/>
    <w:rsid w:val="00BB31DE"/>
    <w:rsid w:val="00BB73E8"/>
    <w:rsid w:val="00BC6D53"/>
    <w:rsid w:val="00BD1D4B"/>
    <w:rsid w:val="00BD524C"/>
    <w:rsid w:val="00BD7DE9"/>
    <w:rsid w:val="00BE4459"/>
    <w:rsid w:val="00C101F2"/>
    <w:rsid w:val="00C13641"/>
    <w:rsid w:val="00C14FA5"/>
    <w:rsid w:val="00C31B4E"/>
    <w:rsid w:val="00C40841"/>
    <w:rsid w:val="00C50CD0"/>
    <w:rsid w:val="00C52ADE"/>
    <w:rsid w:val="00C61F66"/>
    <w:rsid w:val="00C67B05"/>
    <w:rsid w:val="00C7377C"/>
    <w:rsid w:val="00C822D5"/>
    <w:rsid w:val="00CA1699"/>
    <w:rsid w:val="00CA7BB7"/>
    <w:rsid w:val="00CB038C"/>
    <w:rsid w:val="00CB0904"/>
    <w:rsid w:val="00CB58E3"/>
    <w:rsid w:val="00CE2963"/>
    <w:rsid w:val="00CF4A3F"/>
    <w:rsid w:val="00D10A3C"/>
    <w:rsid w:val="00D316EA"/>
    <w:rsid w:val="00D40AD7"/>
    <w:rsid w:val="00D452F2"/>
    <w:rsid w:val="00D57638"/>
    <w:rsid w:val="00D6430F"/>
    <w:rsid w:val="00D768C1"/>
    <w:rsid w:val="00D77904"/>
    <w:rsid w:val="00D80625"/>
    <w:rsid w:val="00D93F38"/>
    <w:rsid w:val="00DA7E43"/>
    <w:rsid w:val="00DB06C9"/>
    <w:rsid w:val="00DB5CCF"/>
    <w:rsid w:val="00DC7D94"/>
    <w:rsid w:val="00DE6591"/>
    <w:rsid w:val="00DF7318"/>
    <w:rsid w:val="00DF7F9F"/>
    <w:rsid w:val="00E11675"/>
    <w:rsid w:val="00E22A58"/>
    <w:rsid w:val="00E4254A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F44304"/>
    <w:rsid w:val="00F45B16"/>
    <w:rsid w:val="00F5254F"/>
    <w:rsid w:val="00F72B3A"/>
    <w:rsid w:val="00F85A60"/>
    <w:rsid w:val="00F94AEC"/>
    <w:rsid w:val="00F97277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760F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4427-092A-4157-B05F-8F030D5B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1013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8229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12</cp:revision>
  <cp:lastPrinted>2011-04-27T10:28:00Z</cp:lastPrinted>
  <dcterms:created xsi:type="dcterms:W3CDTF">2020-07-05T08:05:00Z</dcterms:created>
  <dcterms:modified xsi:type="dcterms:W3CDTF">2020-07-09T11:43:00Z</dcterms:modified>
</cp:coreProperties>
</file>