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-29159</wp:posOffset>
            </wp:positionH>
            <wp:positionV relativeFrom="paragraph">
              <wp:posOffset>-152193</wp:posOffset>
            </wp:positionV>
            <wp:extent cx="1598213" cy="944422"/>
            <wp:effectExtent b="0" l="0" r="0" t="0"/>
            <wp:wrapNone/>
            <wp:docPr descr="Gymgl_logo!" id="112" name="image3.jpg"/>
            <a:graphic>
              <a:graphicData uri="http://schemas.openxmlformats.org/drawingml/2006/picture">
                <pic:pic>
                  <pic:nvPicPr>
                    <pic:cNvPr descr="Gymgl_logo!" id="0" name="image3.jpg"/>
                    <pic:cNvPicPr preferRelativeResize="0"/>
                  </pic:nvPicPr>
                  <pic:blipFill>
                    <a:blip r:embed="rId7"/>
                    <a:srcRect b="0" l="10217" r="5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3">
      <w:pPr>
        <w:tabs>
          <w:tab w:val="left" w:leader="none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 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12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 regionálneho rozvoja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113" name="image1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115" name="image4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114" name="image2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18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Metodika zbierania spätnej väzby</w:t>
      </w: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779"/>
        <w:tblGridChange w:id="0">
          <w:tblGrid>
            <w:gridCol w:w="2689"/>
            <w:gridCol w:w="6779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Prioritná 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Vzdelávanie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Špecifický cieľ: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 Zvýšiť inkluzívnosť a rovnaký prístup ku kvalitnému vzdelávaniu a zlepšiť výsledky a kompetencie detí a žiakov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Prijímateľ: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Gymnázium, SNP 1, Gelnica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Názov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Kľúč k rozvoju štyroch gramotností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Kód ITMS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312011V673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Workshop 1.2.5. Preskúmajme spolu prírodu regiónu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ORGANIZAČNO–TECHNICKÉ ZABEZPEČENIE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14.03.2023 14.30-16.30 </w:t>
            </w:r>
          </w:p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15.03.2023 08.00-12.00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pre workshop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Mgr. Renáta Faguľová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Organizátori workshopu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Plánovaný počet účastníkov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Miesto/miestnosť: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Gymnázium, SNP 1, Gelnica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Biologické laboratórium</w:t>
            </w:r>
          </w:p>
          <w:p w:rsidR="00000000" w:rsidDel="00000000" w:rsidP="00000000" w:rsidRDefault="00000000" w:rsidRPr="00000000" w14:paraId="00000028">
            <w:pPr>
              <w:spacing w:after="240" w:line="254.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Banský náučný chodník, Gelnica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ŠPECIFIKÁCIA SPÄTNEJ VÄZBY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Spôsob zaznamenávania a zbierania spätnej väzby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Dotazníky v tlačenej podobe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Frekvencia zbierania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závere vzdelávacej aktivity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Cieľová skupina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Študenti - účastníci workshopu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podľa priradenia k odosielateľovi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Anonymná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Možnosti zaznamenávania odpovedí a škály merania výsledkov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15" w:right="57" w:hanging="284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stupňová škála podobná známkovaniu</w:t>
            </w:r>
          </w:p>
          <w:p w:rsidR="00000000" w:rsidDel="00000000" w:rsidP="00000000" w:rsidRDefault="00000000" w:rsidRPr="00000000" w14:paraId="00000037">
            <w:pPr>
              <w:spacing w:line="256" w:lineRule="auto"/>
              <w:rPr>
                <w:rFonts w:ascii="Calibri" w:cs="Calibri" w:eastAsia="Calibri" w:hAnsi="Calibri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sz w:val="22"/>
                <w:szCs w:val="22"/>
                <w:rtl w:val="0"/>
              </w:rPr>
              <w:t xml:space="preserve">☺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1 2 3 4 5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sz w:val="22"/>
                <w:szCs w:val="22"/>
                <w:rtl w:val="0"/>
              </w:rPr>
              <w:t xml:space="preserve">☹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alebo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najlepšie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18"/>
                <w:szCs w:val="18"/>
                <w:rtl w:val="0"/>
              </w:rPr>
              <w:t xml:space="preserve"> 1 2 3 4 5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najhoršie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56" w:lineRule="auto"/>
              <w:ind w:left="315" w:right="57" w:hanging="284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stupňová škála</w:t>
            </w:r>
          </w:p>
          <w:p w:rsidR="00000000" w:rsidDel="00000000" w:rsidP="00000000" w:rsidRDefault="00000000" w:rsidRPr="00000000" w14:paraId="00000039">
            <w:pPr>
              <w:spacing w:line="256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áno – nie – neviem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56" w:lineRule="auto"/>
              <w:ind w:left="315" w:right="57" w:hanging="284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stupňová škála s možnosťou viacpočetných odpovedí (zaškrtávacie políčka)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49" w:lineRule="auto"/>
              <w:ind w:left="315" w:right="57" w:hanging="284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Individuálne odpovede (komentáre)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Pokyny k vyplneniu dotazníkov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Organizátori workshopu spolu s expertom oboznámia študentov s pokynmi pre vyplňovanie dotazníkov spätnej väzby a budú  ich v prípade otázok usmerňovať v zmysle metodiky zbierania spätnej väzby.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Vyhodnotenie dotazníkov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line="256" w:lineRule="auto"/>
              <w:ind w:left="3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Výsledky jednotlivých dotazníkov budú zaznamenávané do vyhodnocovacej zbernej tabuľky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line="256" w:lineRule="auto"/>
              <w:ind w:left="3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OBLASTI A PARAMETRE SPÄTNEJ VÄZBY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OBLASTI ZAMERANIA 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SLEDOVANÉ PARAMETRE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workshopu</w:t>
            </w:r>
          </w:p>
          <w:p w:rsidR="00000000" w:rsidDel="00000000" w:rsidP="00000000" w:rsidRDefault="00000000" w:rsidRPr="00000000" w14:paraId="00000048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TEORETICKÁ ČASŤ (v škole)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1.časť 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– oboznámenie sa s cieľom workshopu a pomôckami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2.časť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 – oboznámenie sa s prírodnými podmienkami cieľovej oblasti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3.časť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 – administratívne pokyny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PRAKTICKÁ ČASŤ (v teréne)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zraz a presun (podľa mapy) na miesto realizácie workshopu Banským náučným chodníkom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Banícke múzeum - horniny (minerály)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pozorovanie a fotenie jarných kvietkov - pracovný list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odber vzorky vody pre analýzu vody z Turzovského jazera, tvorba hypotéz, overenie na základe získaných výsledkov, odber vzorky vody pre analýzy pomocou zariadenia Vernier a sônd (s roztokmi) pre určenie pH, teploty,  Cl, Ca, K, NH3, NO3, 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čistenie okolia jazera od odpadkov manuálnym vyzbieraním do vriec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presun späť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56" w:lineRule="auto"/>
              <w:ind w:left="72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 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vyhodnotenie výsledkov analýz vzorky vody tabuľkovou formou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Použité študijné materiály, pomôcky, zariadenie a vybavenie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Vernier Labquest so sondami na zisťovanie obsahu parametrov ako je teplota, pH, obsah kyslíka, oxidu uhličitého, draslíka, vápnika, dusičnanov, dusitanov a amoniaku vo vzorkách vody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Edukačné metódy</w:t>
            </w:r>
          </w:p>
          <w:p w:rsidR="00000000" w:rsidDel="00000000" w:rsidP="00000000" w:rsidRDefault="00000000" w:rsidRPr="00000000" w14:paraId="00000058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prednáška s diskusiou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rozhovor, diskusné metódy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formulovanie hypotéz a ich overovanie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demonštračné metódy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riešenie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problémových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situácií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zážitkové učenie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praktické aktivity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spracovanie výsledkov do tabuľky, vyvodenie záverov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Organizačné formy a organizácia workshopu</w:t>
            </w:r>
          </w:p>
          <w:p w:rsidR="00000000" w:rsidDel="00000000" w:rsidP="00000000" w:rsidRDefault="00000000" w:rsidRPr="00000000" w14:paraId="0000006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frontálna práca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skupinová práca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individuálna práca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Organizátori workshopu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pripravenosť na workshop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odborná a praktická úroveň - vedomosti a zručnosti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pedagogická úroveň – prístup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Hlavný cieľ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Rozvoj prírodovednej, čitateľskej aj finančnej gramotnosti žiakov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Splnenie hlavného cieľa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miera naplnenia cieľa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Špecifické ciele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získajú komplexn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 praktické zručnosti 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pohľad na interaktívne zážitkové poznávanie a ,,ekonomiku“ prírody skúmaním rôznych prostredí (vody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pôdy) s využitím vhodných učebných pomôcok (napr. senzory digitálneho prírodovedného laboratória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 cielenými pripravenými aktivitami 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nadobudnú vedomosti, zručnosti, schopnosti, spôsobilosti a kompetencie, osvoja si vedecké postupy a autenticky si priblížia prácu vedcov pri monitoringu životného prostredia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budú mať príležitosť zažiť medzipredmetové prepojenie v rámci všetkých prírodovedných predmetov (BIO,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CHE, MAT, FYZ), ale aj manuálnych praktických zručností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získajú kompetencie pre formuláciu záverov, tvorbu tabuliek a grafických závislostí v programe Logger Pro (vo vlastníctve školy).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Splnenie špecifických cieľov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miera naplnenia cieľov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Cieľová skupina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Zber formou komentárov: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postrehy, dojmy, zážitky a názory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návrhy na zlepšenie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 Gelnici dňa 11.3.2023</w:t>
        <w:tab/>
        <w:tab/>
        <w:tab/>
        <w:tab/>
        <w:tab/>
        <w:tab/>
        <w:tab/>
        <w:t xml:space="preserve"> </w:t>
        <w:tab/>
        <w:t xml:space="preserve">Mgr. Renáta Faguľová</w:t>
      </w:r>
    </w:p>
    <w:sectPr>
      <w:footerReference r:id="rId12" w:type="default"/>
      <w:footerReference r:id="rId13" w:type="first"/>
      <w:pgSz w:h="16838" w:w="11906" w:orient="portrait"/>
      <w:pgMar w:bottom="993" w:top="851" w:left="1134" w:right="849" w:header="709" w:footer="2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color="000000" w:space="1" w:sz="4" w:val="single"/>
      </w:pBd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7E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7F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  <w:tab w:val="left" w:leader="none" w:pos="3253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•"/>
      <w:lvlJc w:val="left"/>
      <w:pPr>
        <w:ind w:left="6450" w:hanging="4290"/>
      </w:pPr>
      <w:rPr>
        <w:rFonts w:ascii="Calibri" w:cs="Calibri" w:eastAsia="Calibri" w:hAnsi="Calibri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3D1A63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3D1A63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3D1A63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3D1A63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3D1A63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3D1A63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3D1A63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3D1A63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3D1A63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ov">
    <w:name w:val="Title"/>
    <w:basedOn w:val="Normlny"/>
    <w:next w:val="Normlny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 w:val="1"/>
    <w:unhideWhenUsed w:val="1"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 w:val="1"/>
    <w:unhideWhenUsed w:val="1"/>
    <w:rsid w:val="002851F5"/>
  </w:style>
  <w:style w:type="character" w:styleId="TextkomentraChar" w:customStyle="1">
    <w:name w:val="Text komentára Char"/>
    <w:basedOn w:val="Predvolenpsmoodseku"/>
    <w:link w:val="Textkomentra"/>
    <w:semiHidden w:val="1"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 w:val="1"/>
    <w:unhideWhenUsed w:val="1"/>
    <w:rsid w:val="002851F5"/>
    <w:rPr>
      <w:b w:val="1"/>
      <w:bCs w:val="1"/>
    </w:rPr>
  </w:style>
  <w:style w:type="character" w:styleId="PredmetkomentraChar" w:customStyle="1">
    <w:name w:val="Predmet komentára Char"/>
    <w:basedOn w:val="TextkomentraChar"/>
    <w:link w:val="Predmetkomentra"/>
    <w:semiHidden w:val="1"/>
    <w:rsid w:val="002851F5"/>
    <w:rPr>
      <w:b w:val="1"/>
      <w:bCs w:val="1"/>
      <w:lang w:eastAsia="cs-CZ"/>
    </w:rPr>
  </w:style>
  <w:style w:type="paragraph" w:styleId="Textbubliny">
    <w:name w:val="Balloon Text"/>
    <w:basedOn w:val="Normlny"/>
    <w:link w:val="TextbublinyChar"/>
    <w:semiHidden w:val="1"/>
    <w:unhideWhenUsed w:val="1"/>
    <w:rsid w:val="002851F5"/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semiHidden w:val="1"/>
    <w:rsid w:val="002851F5"/>
    <w:rPr>
      <w:rFonts w:ascii="Segoe UI" w:cs="Segoe UI" w:hAnsi="Segoe UI"/>
      <w:sz w:val="18"/>
      <w:szCs w:val="18"/>
      <w:lang w:eastAsia="cs-CZ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xRJAqtTFY39qm2Zp3mhUfzqK+Q==">AMUW2mUwaBXwLRN3/H/cUXjTW+6S4WCAdVapQNgUumG7M5RT2nROjUePznjQk1qYSWrAODvlEHWkLNu4BsswqjNh2GE6uRu1kZl/PW4Rt2Y6Ar4ldxS9bO0wFUwzbS0e619pzQd1JphX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2020-07-06T06:05:00Z</dcterms:created>
  <dc:creator>Gymnázium</dc:creator>
</cp:coreProperties>
</file>