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11" w:rsidRP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sk-SK"/>
        </w:rPr>
        <w:t>PRENOS LÁTOK:</w:t>
      </w:r>
    </w:p>
    <w:p w:rsidR="00DF4E11" w:rsidRPr="00DF4E11" w:rsidRDefault="00DF4E11" w:rsidP="00DF4E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pasívny transport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- prebieha bez spotreby energie</w:t>
      </w:r>
    </w:p>
    <w:p w:rsidR="00DF4E11" w:rsidRPr="00DF4E11" w:rsidRDefault="00DF4E11" w:rsidP="00DF4E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aktívny transport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- pre prenos látok cez membránu je potrebná energia</w:t>
      </w:r>
    </w:p>
    <w:p w:rsidR="00DF4E11" w:rsidRPr="00DF4E11" w:rsidRDefault="00DF4E11" w:rsidP="00DF4E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proofErr w:type="spellStart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cytózy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- prenos veľkých molekúl a celých častíc za prestavby membrány</w:t>
      </w:r>
    </w:p>
    <w:p w:rsidR="00DF4E11" w:rsidRPr="00DF4E11" w:rsidRDefault="000B076F" w:rsidP="00DF4E11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lang w:eastAsia="sk-SK"/>
        </w:rPr>
      </w:pPr>
      <w:hyperlink r:id="rId5" w:anchor="a1904" w:history="1">
        <w:r w:rsidR="00DF4E11" w:rsidRPr="00DF4E11">
          <w:rPr>
            <w:rFonts w:ascii="Times New Roman" w:eastAsia="Times New Roman" w:hAnsi="Times New Roman" w:cs="Times New Roman"/>
            <w:b/>
            <w:color w:val="212529"/>
            <w:u w:val="single"/>
            <w:lang w:eastAsia="sk-SK"/>
          </w:rPr>
          <w:t>Pasívny transport</w:t>
        </w:r>
        <w:r w:rsidR="00DF4E11" w:rsidRPr="00DF4E11">
          <w:rPr>
            <w:rFonts w:ascii="Times New Roman" w:eastAsia="Times New Roman" w:hAnsi="Times New Roman" w:cs="Times New Roman"/>
            <w:b/>
            <w:color w:val="0000FF"/>
            <w:u w:val="single"/>
            <w:lang w:eastAsia="sk-SK"/>
          </w:rPr>
          <w:t> </w:t>
        </w:r>
      </w:hyperlink>
    </w:p>
    <w:p w:rsidR="00DF4E11" w:rsidRP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Pasívny transport znamená prenos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biomolekúl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atómovej alebo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nízkomolekulárnej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povahy cez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biomembrány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</w:t>
      </w:r>
      <w:r w:rsidRPr="00DF4E11">
        <w:rPr>
          <w:rFonts w:ascii="Times New Roman" w:eastAsia="Times New Roman" w:hAnsi="Times New Roman" w:cs="Times New Roman"/>
          <w:b/>
          <w:i/>
          <w:color w:val="212529"/>
          <w:lang w:eastAsia="sk-SK"/>
        </w:rPr>
        <w:t>bez spotreby energie.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Zaraďujeme sem </w:t>
      </w:r>
      <w:r w:rsidRPr="00DF4E11">
        <w:rPr>
          <w:rFonts w:ascii="Times New Roman" w:eastAsia="Times New Roman" w:hAnsi="Times New Roman" w:cs="Times New Roman"/>
          <w:b/>
          <w:color w:val="212529"/>
          <w:u w:val="single"/>
          <w:lang w:eastAsia="sk-SK"/>
        </w:rPr>
        <w:t xml:space="preserve">difúziu a </w:t>
      </w:r>
      <w:proofErr w:type="spellStart"/>
      <w:r w:rsidRPr="00DF4E11">
        <w:rPr>
          <w:rFonts w:ascii="Times New Roman" w:eastAsia="Times New Roman" w:hAnsi="Times New Roman" w:cs="Times New Roman"/>
          <w:b/>
          <w:color w:val="212529"/>
          <w:u w:val="single"/>
          <w:lang w:eastAsia="sk-SK"/>
        </w:rPr>
        <w:t>osmózu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.</w:t>
      </w:r>
    </w:p>
    <w:p w:rsidR="00DF4E11" w:rsidRPr="00DF4E11" w:rsidRDefault="000B076F" w:rsidP="00DF4E11">
      <w:pPr>
        <w:shd w:val="clear" w:color="auto" w:fill="FAFAFA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12529"/>
          <w:lang w:eastAsia="sk-SK"/>
        </w:rPr>
      </w:pPr>
      <w:hyperlink r:id="rId6" w:anchor="a1763" w:history="1">
        <w:r w:rsidR="00DF4E11" w:rsidRPr="00DF4E11">
          <w:rPr>
            <w:rFonts w:ascii="Times New Roman" w:eastAsia="Times New Roman" w:hAnsi="Times New Roman" w:cs="Times New Roman"/>
            <w:b/>
            <w:color w:val="212529"/>
            <w:u w:val="single"/>
            <w:lang w:eastAsia="sk-SK"/>
          </w:rPr>
          <w:t>Difúzia</w:t>
        </w:r>
        <w:r w:rsidR="00DF4E11" w:rsidRPr="00DF4E11">
          <w:rPr>
            <w:rFonts w:ascii="Times New Roman" w:eastAsia="Times New Roman" w:hAnsi="Times New Roman" w:cs="Times New Roman"/>
            <w:b/>
            <w:color w:val="0000FF"/>
            <w:u w:val="single"/>
            <w:lang w:eastAsia="sk-SK"/>
          </w:rPr>
          <w:t> </w:t>
        </w:r>
      </w:hyperlink>
    </w:p>
    <w:p w:rsid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i/>
          <w:color w:val="212529"/>
          <w:lang w:eastAsia="sk-SK"/>
        </w:rPr>
        <w:t>Ide o pohyb molekúl, atómov a iónov z miesta vyššej koncentrácie na miesto s nižšou koncentráciou, čiže po koncentračnom spáde (</w:t>
      </w:r>
      <w:proofErr w:type="spellStart"/>
      <w:r w:rsidRPr="00DF4E11">
        <w:rPr>
          <w:rFonts w:ascii="Times New Roman" w:eastAsia="Times New Roman" w:hAnsi="Times New Roman" w:cs="Times New Roman"/>
          <w:i/>
          <w:color w:val="212529"/>
          <w:lang w:eastAsia="sk-SK"/>
        </w:rPr>
        <w:t>gradiente</w:t>
      </w:r>
      <w:proofErr w:type="spellEnd"/>
      <w:r w:rsidRPr="00DF4E11">
        <w:rPr>
          <w:rFonts w:ascii="Times New Roman" w:eastAsia="Times New Roman" w:hAnsi="Times New Roman" w:cs="Times New Roman"/>
          <w:i/>
          <w:color w:val="212529"/>
          <w:lang w:eastAsia="sk-SK"/>
        </w:rPr>
        <w:t>)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. </w:t>
      </w:r>
    </w:p>
    <w:p w:rsidR="00DF4E11" w:rsidRP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Takto sa prenášajú kyslík, oxid uhličitý, organické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neelektrolyty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(alkohol, močovina), ako aj niektoré jedy a farbivá.</w:t>
      </w:r>
    </w:p>
    <w:p w:rsidR="00DF4E11" w:rsidRP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Uľahčená difúzia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 predstavuje pohyb molekúl cez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biomembránu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pomocou špecifických proteínových prenášačov zabudovaných v membráne. Takýmto spôsobom sa prenáša napr. glukóza, pretože je nerozpustná v tukoch a molekula je príliš veľká, aby sa dostala cez membránové póry. Napriek tomu, že je potrebná špecifická bielkovina vo funkcii prenášača, prebieha tento proces po koncentračnom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gradiente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bez spotreby energie.</w:t>
      </w:r>
    </w:p>
    <w:p w:rsidR="00DF4E11" w:rsidRPr="00DF4E11" w:rsidRDefault="00DF4E11" w:rsidP="00DF4E11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</w:p>
    <w:p w:rsidR="00DF4E11" w:rsidRPr="00DF4E11" w:rsidRDefault="000B076F" w:rsidP="00DF4E11">
      <w:pPr>
        <w:shd w:val="clear" w:color="auto" w:fill="FAFAFA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12529"/>
          <w:lang w:eastAsia="sk-SK"/>
        </w:rPr>
      </w:pPr>
      <w:hyperlink r:id="rId7" w:anchor="a1460" w:history="1">
        <w:proofErr w:type="spellStart"/>
        <w:r w:rsidR="00DF4E11" w:rsidRPr="00DF4E11">
          <w:rPr>
            <w:rFonts w:ascii="Times New Roman" w:eastAsia="Times New Roman" w:hAnsi="Times New Roman" w:cs="Times New Roman"/>
            <w:b/>
            <w:color w:val="212529"/>
            <w:u w:val="single"/>
            <w:lang w:eastAsia="sk-SK"/>
          </w:rPr>
          <w:t>Osmóza</w:t>
        </w:r>
        <w:proofErr w:type="spellEnd"/>
        <w:r w:rsidR="00DF4E11" w:rsidRPr="00DF4E11">
          <w:rPr>
            <w:rFonts w:ascii="Times New Roman" w:eastAsia="Times New Roman" w:hAnsi="Times New Roman" w:cs="Times New Roman"/>
            <w:b/>
            <w:color w:val="0000FF"/>
            <w:u w:val="single"/>
            <w:lang w:eastAsia="sk-SK"/>
          </w:rPr>
          <w:t> </w:t>
        </w:r>
      </w:hyperlink>
    </w:p>
    <w:p w:rsid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>
        <w:rPr>
          <w:rFonts w:ascii="Times New Roman" w:eastAsia="Times New Roman" w:hAnsi="Times New Roman" w:cs="Times New Roman"/>
          <w:color w:val="212529"/>
          <w:lang w:eastAsia="sk-SK"/>
        </w:rPr>
        <w:t xml:space="preserve">Prenos molekúl vody cez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cez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semipermeabilnú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membránu</w:t>
      </w:r>
      <w:r>
        <w:rPr>
          <w:rFonts w:ascii="Times New Roman" w:eastAsia="Times New Roman" w:hAnsi="Times New Roman" w:cs="Times New Roman"/>
          <w:color w:val="212529"/>
          <w:lang w:eastAsia="sk-SK"/>
        </w:rPr>
        <w:t xml:space="preserve"> proti koncentračnému spádu (z miesta s nižšou do miesta s vyššou)</w:t>
      </w:r>
    </w:p>
    <w:p w:rsidR="00DF4E11" w:rsidRPr="00DF4E11" w:rsidRDefault="00DF4E11" w:rsidP="00DF4E11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Bunka môže vodu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nasávať alebo strácať v závislosti od koncentrácie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aktívnych častíc v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mimobunkovom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prostredí a vo vnútri bunky, resp. v bunkovej šťave vakuoly rastlinnej bunky. Z tohto hľadiska rozlišujeme niekoľko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osmotických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hodnôt prostredia:</w:t>
      </w:r>
    </w:p>
    <w:p w:rsidR="00DF4E11" w:rsidRPr="00DF4E11" w:rsidRDefault="00DF4E11" w:rsidP="00DF4E1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proofErr w:type="spellStart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Izotonické</w:t>
      </w:r>
      <w:proofErr w:type="spellEnd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prostredie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(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gr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.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iso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= rovnaký;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tonos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= napínanie) má rovnakú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osmotickú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hodnotu ako bunka, preto tu nedochádza k prúdeniu vody v akomkoľvek smere.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br/>
      </w:r>
    </w:p>
    <w:p w:rsidR="00DF4E11" w:rsidRDefault="00DF4E11" w:rsidP="00DF4E1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Hypertonické prostredie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(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gr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.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hyper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= nad) má vyššiu koncentráciu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osmotickych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aktívnych častíc a bunka v takomto prostredí </w:t>
      </w:r>
      <w:r w:rsidRPr="00DF4E11">
        <w:rPr>
          <w:rFonts w:ascii="Times New Roman" w:eastAsia="Times New Roman" w:hAnsi="Times New Roman" w:cs="Times New Roman"/>
          <w:i/>
          <w:color w:val="212529"/>
          <w:u w:val="single"/>
          <w:lang w:eastAsia="sk-SK"/>
        </w:rPr>
        <w:t>stráca vodu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, zmenšuje svoj objem. U rastlinnej bunky nastáva </w:t>
      </w:r>
      <w:proofErr w:type="spellStart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plazmolýza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 (je to odťahovanie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protoplastu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od bunkovej steny).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Plazmolýzu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môžeme pozorovať, ak posolíme rozkrojenú uhorku. Soľ povyťahuje z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protoplastov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buniek vodu. U živočíšnej bunky nastáva zmrštenie, ktoré sa označuje ako </w:t>
      </w:r>
      <w:proofErr w:type="spellStart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plazmorýza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. Toto nastáva napríklad, keď si potrieme pokožku alkoholom. </w:t>
      </w:r>
    </w:p>
    <w:p w:rsidR="00DF4E11" w:rsidRPr="00DF4E11" w:rsidRDefault="00DF4E11" w:rsidP="00DF4E1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</w:p>
    <w:p w:rsidR="00DF4E11" w:rsidRPr="00DF4E11" w:rsidRDefault="00DF4E11" w:rsidP="00DF4E1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Hypotonické prostredie</w:t>
      </w:r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 (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gr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.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hypo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= pod) má nižšiu koncentráciu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osmoticky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aktívnych častíc ako bunka. Na rastlinnú bunku pôsobí zvýšený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turgor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ale bunka dokáže tomuto stavu do istej miery odolať pôsobením elastickej bunkovej steny. Ak je pôsobenie dlhotrvajúce, bunka nevydrží a praskne (napr. čerešne po dlhotrvajúcom daždi). Bunka v takomto prostredí nasáva vodu a zväčšuje svoj objem, nastáva </w:t>
      </w:r>
      <w:proofErr w:type="spellStart"/>
      <w:r w:rsidRPr="00DF4E11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plazmoptýza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 a niekedy dochádza k praskaniu buniek aj napriek prítomnosti bunkovej steny. Živočíšna bunka v hypotonickom prostredí praská, napr. morské prvoky v sladkej vode,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osmotická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lýza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 xml:space="preserve"> erytrocytov (tzv. </w:t>
      </w:r>
      <w:proofErr w:type="spellStart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hemolýza</w:t>
      </w:r>
      <w:proofErr w:type="spellEnd"/>
      <w:r w:rsidRPr="00DF4E11">
        <w:rPr>
          <w:rFonts w:ascii="Times New Roman" w:eastAsia="Times New Roman" w:hAnsi="Times New Roman" w:cs="Times New Roman"/>
          <w:color w:val="212529"/>
          <w:lang w:eastAsia="sk-SK"/>
        </w:rPr>
        <w:t>) v destilovanej vode.</w:t>
      </w:r>
    </w:p>
    <w:p w:rsidR="000045D8" w:rsidRPr="000045D8" w:rsidRDefault="000B076F" w:rsidP="000045D8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sk-SK"/>
        </w:rPr>
      </w:pPr>
      <w:hyperlink r:id="rId8" w:anchor="a1986" w:history="1">
        <w:r w:rsidR="000045D8" w:rsidRPr="000045D8">
          <w:rPr>
            <w:rFonts w:ascii="Times New Roman" w:eastAsia="Times New Roman" w:hAnsi="Times New Roman" w:cs="Times New Roman"/>
            <w:b/>
            <w:color w:val="212529"/>
            <w:sz w:val="28"/>
            <w:szCs w:val="28"/>
            <w:u w:val="single"/>
            <w:lang w:eastAsia="sk-SK"/>
          </w:rPr>
          <w:t>Aktívny transport</w:t>
        </w:r>
        <w:r w:rsidR="000045D8" w:rsidRPr="000045D8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sk-SK"/>
          </w:rPr>
          <w:t> </w:t>
        </w:r>
      </w:hyperlink>
    </w:p>
    <w:p w:rsidR="000045D8" w:rsidRDefault="000045D8" w:rsidP="000045D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Na jeho uskutočnenie sa spotrebuje energia, ktorá pochádza z hydrolytického enzymatického štiepenia ATP (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adenozíntrifosfát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). ATP obsahuje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makroergické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chemické väzby medzi fosfátmi, ktoré rozštiepením uvoľňujú chemickú energiu využiteľnú pre ďalšie biochemické procesy. </w:t>
      </w:r>
    </w:p>
    <w:p w:rsidR="000045D8" w:rsidRPr="000045D8" w:rsidRDefault="000045D8" w:rsidP="000045D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lastRenderedPageBreak/>
        <w:t>Aktívny transport sa uskutočňuje pomocou </w:t>
      </w:r>
      <w:r w:rsidRPr="000045D8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proteínových prenášačov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, čo sú membránové bielkoviny, ktoré aktívne prenášajú molekuly cez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biomembrány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. Princíp je podobný ako v prípade uľahčenej difúzie, avšak prebieha </w:t>
      </w:r>
      <w:r w:rsidRPr="000045D8">
        <w:rPr>
          <w:rFonts w:ascii="Times New Roman" w:eastAsia="Times New Roman" w:hAnsi="Times New Roman" w:cs="Times New Roman"/>
          <w:color w:val="212529"/>
          <w:u w:val="single"/>
          <w:lang w:eastAsia="sk-SK"/>
        </w:rPr>
        <w:t xml:space="preserve">proti koncentračnému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u w:val="single"/>
          <w:lang w:eastAsia="sk-SK"/>
        </w:rPr>
        <w:t>gradientu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 prenášanej molekuly.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Prenášačový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transport funguje v niekoľkých krokoch:</w:t>
      </w:r>
    </w:p>
    <w:p w:rsidR="000045D8" w:rsidRPr="000045D8" w:rsidRDefault="000045D8" w:rsidP="000045D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prenášač rozpozná a zachytí molekulu na povrchu membrány</w:t>
      </w:r>
    </w:p>
    <w:p w:rsidR="000045D8" w:rsidRPr="000045D8" w:rsidRDefault="000045D8" w:rsidP="000045D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zmenou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konformácie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(štruktúry) prenášača nastáva prenos (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translokácia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) molekuly na druhú stranu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biomembrány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(tento proces je podporovaný hydrolýzou ATP)</w:t>
      </w:r>
    </w:p>
    <w:p w:rsidR="000045D8" w:rsidRPr="000045D8" w:rsidRDefault="000045D8" w:rsidP="000045D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uvoľnením molekuly z prenášača na druhej strane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biomembrány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sa obnovuje pôvodná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konformácia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prenášača</w:t>
      </w:r>
    </w:p>
    <w:p w:rsidR="000045D8" w:rsidRPr="000045D8" w:rsidRDefault="000045D8" w:rsidP="000045D8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Príkladom aktívneho transportu pomocou prenášačov je </w:t>
      </w:r>
      <w:r w:rsidRPr="000045D8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sodíkovo-draslíková pumpa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. Je to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transmembránový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proteínový prenášač, ktorý prenáša sodné katióny (Na</w:t>
      </w:r>
      <w:r w:rsidRPr="000045D8">
        <w:rPr>
          <w:rFonts w:ascii="Times New Roman" w:eastAsia="Times New Roman" w:hAnsi="Times New Roman" w:cs="Times New Roman"/>
          <w:color w:val="212529"/>
          <w:vertAlign w:val="superscript"/>
          <w:lang w:eastAsia="sk-SK"/>
        </w:rPr>
        <w:t>+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) von z bunky a draselné katióny (K</w:t>
      </w:r>
      <w:r w:rsidRPr="000045D8">
        <w:rPr>
          <w:rFonts w:ascii="Times New Roman" w:eastAsia="Times New Roman" w:hAnsi="Times New Roman" w:cs="Times New Roman"/>
          <w:color w:val="212529"/>
          <w:vertAlign w:val="superscript"/>
          <w:lang w:eastAsia="sk-SK"/>
        </w:rPr>
        <w:t>+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) do bunky za spotreby ATP. Na jednu molekulu ATP sa prevedú 3 molekuly Na</w:t>
      </w:r>
      <w:r w:rsidRPr="000045D8">
        <w:rPr>
          <w:rFonts w:ascii="Times New Roman" w:eastAsia="Times New Roman" w:hAnsi="Times New Roman" w:cs="Times New Roman"/>
          <w:color w:val="212529"/>
          <w:vertAlign w:val="superscript"/>
          <w:lang w:eastAsia="sk-SK"/>
        </w:rPr>
        <w:t>+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 von z bunky a 2 molekuly K</w:t>
      </w:r>
      <w:r w:rsidRPr="000045D8">
        <w:rPr>
          <w:rFonts w:ascii="Times New Roman" w:eastAsia="Times New Roman" w:hAnsi="Times New Roman" w:cs="Times New Roman"/>
          <w:color w:val="212529"/>
          <w:vertAlign w:val="superscript"/>
          <w:lang w:eastAsia="sk-SK"/>
        </w:rPr>
        <w:t>+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 do bunky. Následkom tohto procesu je vznik záporného </w:t>
      </w:r>
      <w:r w:rsidRPr="000045D8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elektrického potenciálu</w:t>
      </w:r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 na vnútornej strane </w:t>
      </w:r>
      <w:proofErr w:type="spellStart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>biomembrány</w:t>
      </w:r>
      <w:proofErr w:type="spellEnd"/>
      <w:r w:rsidRPr="000045D8">
        <w:rPr>
          <w:rFonts w:ascii="Times New Roman" w:eastAsia="Times New Roman" w:hAnsi="Times New Roman" w:cs="Times New Roman"/>
          <w:color w:val="212529"/>
          <w:lang w:eastAsia="sk-SK"/>
        </w:rPr>
        <w:t xml:space="preserve"> oproti vonkajšej strane. Sodíkovo-draslíkové pumpy sú vo veľkom množstve prítomné v nervových bunkách.</w:t>
      </w:r>
    </w:p>
    <w:p w:rsidR="00F47D2C" w:rsidRPr="00F47D2C" w:rsidRDefault="00F47D2C" w:rsidP="00F47D2C">
      <w:pPr>
        <w:pStyle w:val="Normlnywebov"/>
        <w:shd w:val="clear" w:color="auto" w:fill="FAFAFA"/>
        <w:spacing w:before="0" w:beforeAutospacing="0"/>
        <w:rPr>
          <w:color w:val="212529"/>
        </w:rPr>
      </w:pPr>
      <w:r w:rsidRPr="00F47D2C">
        <w:rPr>
          <w:color w:val="212529"/>
        </w:rPr>
        <w:t>Podľa smeru, akým nastáva prenos častíc, rozlišujeme:</w:t>
      </w:r>
    </w:p>
    <w:p w:rsidR="00F47D2C" w:rsidRPr="00F47D2C" w:rsidRDefault="00F47D2C" w:rsidP="00F47D2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>endocytózy</w:t>
      </w:r>
      <w:proofErr w:type="spellEnd"/>
      <w:r w:rsidRPr="00F47D2C">
        <w:rPr>
          <w:rFonts w:ascii="Times New Roman" w:hAnsi="Times New Roman" w:cs="Times New Roman"/>
          <w:color w:val="212529"/>
          <w:sz w:val="24"/>
          <w:szCs w:val="24"/>
        </w:rPr>
        <w:t> - do bunky</w:t>
      </w:r>
    </w:p>
    <w:p w:rsidR="00F47D2C" w:rsidRPr="00F47D2C" w:rsidRDefault="00F47D2C" w:rsidP="00F47D2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>exocytózy</w:t>
      </w:r>
      <w:proofErr w:type="spellEnd"/>
      <w:r w:rsidRPr="00F47D2C">
        <w:rPr>
          <w:rFonts w:ascii="Times New Roman" w:hAnsi="Times New Roman" w:cs="Times New Roman"/>
          <w:color w:val="212529"/>
          <w:sz w:val="24"/>
          <w:szCs w:val="24"/>
        </w:rPr>
        <w:t> - z bunky</w:t>
      </w:r>
    </w:p>
    <w:p w:rsidR="00F47D2C" w:rsidRPr="00F47D2C" w:rsidRDefault="00F47D2C" w:rsidP="00F47D2C">
      <w:pPr>
        <w:pStyle w:val="Nadpis3"/>
        <w:shd w:val="clear" w:color="auto" w:fill="FAFAFA"/>
        <w:spacing w:before="0" w:beforeAutospacing="0"/>
        <w:rPr>
          <w:b w:val="0"/>
          <w:bCs w:val="0"/>
          <w:color w:val="212529"/>
          <w:sz w:val="24"/>
          <w:szCs w:val="24"/>
        </w:rPr>
      </w:pPr>
      <w:hyperlink r:id="rId9" w:anchor="a1764" w:history="1">
        <w:proofErr w:type="spellStart"/>
        <w:r w:rsidRPr="00F47D2C">
          <w:rPr>
            <w:rStyle w:val="Hypertextovprepojenie"/>
            <w:b w:val="0"/>
            <w:bCs w:val="0"/>
            <w:color w:val="212529"/>
            <w:sz w:val="24"/>
            <w:szCs w:val="24"/>
          </w:rPr>
          <w:t>Endocytóza</w:t>
        </w:r>
        <w:proofErr w:type="spellEnd"/>
        <w:r w:rsidRPr="00F47D2C">
          <w:rPr>
            <w:rStyle w:val="Hypertextovprepojenie"/>
            <w:b w:val="0"/>
            <w:bCs w:val="0"/>
            <w:sz w:val="24"/>
            <w:szCs w:val="24"/>
          </w:rPr>
          <w:t> </w:t>
        </w:r>
      </w:hyperlink>
    </w:p>
    <w:p w:rsidR="00F47D2C" w:rsidRPr="00F47D2C" w:rsidRDefault="00F47D2C" w:rsidP="00F47D2C">
      <w:pPr>
        <w:pStyle w:val="Normlnywebov"/>
        <w:shd w:val="clear" w:color="auto" w:fill="FAFAFA"/>
        <w:spacing w:before="0" w:beforeAutospacing="0"/>
        <w:rPr>
          <w:color w:val="212529"/>
        </w:rPr>
      </w:pPr>
      <w:proofErr w:type="spellStart"/>
      <w:r w:rsidRPr="00F47D2C">
        <w:rPr>
          <w:color w:val="212529"/>
        </w:rPr>
        <w:t>Endocytóza</w:t>
      </w:r>
      <w:proofErr w:type="spellEnd"/>
      <w:r w:rsidRPr="00F47D2C">
        <w:rPr>
          <w:color w:val="212529"/>
        </w:rPr>
        <w:t xml:space="preserve"> predstavuje prijímanie (</w:t>
      </w:r>
      <w:proofErr w:type="spellStart"/>
      <w:r w:rsidRPr="00F47D2C">
        <w:rPr>
          <w:color w:val="212529"/>
        </w:rPr>
        <w:t>ingesciu</w:t>
      </w:r>
      <w:proofErr w:type="spellEnd"/>
      <w:r w:rsidRPr="00F47D2C">
        <w:rPr>
          <w:color w:val="212529"/>
        </w:rPr>
        <w:t xml:space="preserve">) látok do bunky. Kým pasívny a aktívny </w:t>
      </w:r>
      <w:proofErr w:type="spellStart"/>
      <w:r w:rsidRPr="00F47D2C">
        <w:rPr>
          <w:color w:val="212529"/>
        </w:rPr>
        <w:t>trasnsport</w:t>
      </w:r>
      <w:proofErr w:type="spellEnd"/>
      <w:r w:rsidRPr="00F47D2C">
        <w:rPr>
          <w:color w:val="212529"/>
        </w:rPr>
        <w:t xml:space="preserve"> sa vyskytuje u všetkých buniek, </w:t>
      </w:r>
      <w:proofErr w:type="spellStart"/>
      <w:r w:rsidRPr="00F47D2C">
        <w:rPr>
          <w:color w:val="212529"/>
        </w:rPr>
        <w:t>endocytóza</w:t>
      </w:r>
      <w:proofErr w:type="spellEnd"/>
      <w:r w:rsidRPr="00F47D2C">
        <w:rPr>
          <w:color w:val="212529"/>
        </w:rPr>
        <w:t xml:space="preserve"> sa vyskytuje len u niektorých. Rozlišujeme tri druhy </w:t>
      </w:r>
      <w:proofErr w:type="spellStart"/>
      <w:r w:rsidRPr="00F47D2C">
        <w:rPr>
          <w:color w:val="212529"/>
        </w:rPr>
        <w:t>endocytózy</w:t>
      </w:r>
      <w:proofErr w:type="spellEnd"/>
      <w:r w:rsidRPr="00F47D2C">
        <w:rPr>
          <w:color w:val="212529"/>
        </w:rPr>
        <w:t>:</w:t>
      </w:r>
    </w:p>
    <w:p w:rsidR="00F47D2C" w:rsidRPr="00F47D2C" w:rsidRDefault="00F47D2C" w:rsidP="00F47D2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>fagocytóza</w:t>
      </w:r>
    </w:p>
    <w:p w:rsidR="00F47D2C" w:rsidRPr="00F47D2C" w:rsidRDefault="00F47D2C" w:rsidP="00F47D2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>pinocytóza</w:t>
      </w:r>
      <w:proofErr w:type="spellEnd"/>
    </w:p>
    <w:p w:rsidR="00F47D2C" w:rsidRPr="00F47D2C" w:rsidRDefault="00F47D2C" w:rsidP="00F47D2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 xml:space="preserve">receptormi sprostredkovaná </w:t>
      </w:r>
      <w:proofErr w:type="spellStart"/>
      <w:r w:rsidRPr="00F47D2C">
        <w:rPr>
          <w:rStyle w:val="Siln"/>
          <w:rFonts w:ascii="Times New Roman" w:hAnsi="Times New Roman" w:cs="Times New Roman"/>
          <w:color w:val="212529"/>
          <w:sz w:val="24"/>
          <w:szCs w:val="24"/>
        </w:rPr>
        <w:t>endocytóza</w:t>
      </w:r>
      <w:proofErr w:type="spellEnd"/>
    </w:p>
    <w:p w:rsidR="001667A0" w:rsidRPr="001667A0" w:rsidRDefault="001667A0" w:rsidP="001667A0">
      <w:pPr>
        <w:pStyle w:val="Nadpis3"/>
        <w:shd w:val="clear" w:color="auto" w:fill="FAFAFA"/>
        <w:spacing w:before="0" w:beforeAutospacing="0"/>
        <w:rPr>
          <w:b w:val="0"/>
          <w:bCs w:val="0"/>
          <w:color w:val="212529"/>
          <w:sz w:val="24"/>
          <w:szCs w:val="24"/>
        </w:rPr>
      </w:pPr>
      <w:hyperlink r:id="rId10" w:anchor="a178" w:history="1">
        <w:proofErr w:type="spellStart"/>
        <w:r w:rsidRPr="001667A0">
          <w:rPr>
            <w:rStyle w:val="Hypertextovprepojenie"/>
            <w:b w:val="0"/>
            <w:bCs w:val="0"/>
            <w:color w:val="212529"/>
            <w:sz w:val="24"/>
            <w:szCs w:val="24"/>
          </w:rPr>
          <w:t>Exocytóza</w:t>
        </w:r>
        <w:proofErr w:type="spellEnd"/>
        <w:r w:rsidRPr="001667A0">
          <w:rPr>
            <w:rStyle w:val="Hypertextovprepojenie"/>
            <w:b w:val="0"/>
            <w:bCs w:val="0"/>
            <w:sz w:val="24"/>
            <w:szCs w:val="24"/>
          </w:rPr>
          <w:t> </w:t>
        </w:r>
      </w:hyperlink>
    </w:p>
    <w:p w:rsidR="001667A0" w:rsidRPr="001667A0" w:rsidRDefault="001667A0" w:rsidP="001667A0">
      <w:pPr>
        <w:pStyle w:val="Normlnywebov"/>
        <w:shd w:val="clear" w:color="auto" w:fill="FAFAFA"/>
        <w:spacing w:before="0" w:beforeAutospacing="0"/>
        <w:rPr>
          <w:color w:val="212529"/>
        </w:rPr>
      </w:pPr>
      <w:proofErr w:type="spellStart"/>
      <w:r w:rsidRPr="001667A0">
        <w:rPr>
          <w:color w:val="212529"/>
        </w:rPr>
        <w:t>Exocytóza</w:t>
      </w:r>
      <w:proofErr w:type="spellEnd"/>
      <w:r w:rsidRPr="001667A0">
        <w:rPr>
          <w:color w:val="212529"/>
        </w:rPr>
        <w:t xml:space="preserve"> je proces výdaja väčších molekúl, ktoré nemôžu prejsť cez plazmatickú membránu difúziou. Je to v podstate opačný proces ako </w:t>
      </w:r>
      <w:proofErr w:type="spellStart"/>
      <w:r w:rsidRPr="001667A0">
        <w:rPr>
          <w:color w:val="212529"/>
        </w:rPr>
        <w:t>endocytóza</w:t>
      </w:r>
      <w:proofErr w:type="spellEnd"/>
      <w:r w:rsidRPr="001667A0">
        <w:rPr>
          <w:color w:val="212529"/>
        </w:rPr>
        <w:t>.</w:t>
      </w:r>
    </w:p>
    <w:p w:rsidR="00BB7DAB" w:rsidRPr="00F47D2C" w:rsidRDefault="00BB7DAB">
      <w:pPr>
        <w:rPr>
          <w:rFonts w:ascii="Times New Roman" w:hAnsi="Times New Roman" w:cs="Times New Roman"/>
          <w:sz w:val="24"/>
          <w:szCs w:val="24"/>
        </w:rPr>
      </w:pPr>
    </w:p>
    <w:sectPr w:rsidR="00BB7DAB" w:rsidRPr="00F47D2C" w:rsidSect="00DF4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1B76"/>
    <w:multiLevelType w:val="multilevel"/>
    <w:tmpl w:val="552C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26168F"/>
    <w:multiLevelType w:val="multilevel"/>
    <w:tmpl w:val="51A2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E38EC"/>
    <w:multiLevelType w:val="multilevel"/>
    <w:tmpl w:val="0AB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A41D8"/>
    <w:multiLevelType w:val="multilevel"/>
    <w:tmpl w:val="810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C02EB"/>
    <w:multiLevelType w:val="multilevel"/>
    <w:tmpl w:val="4EE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E11"/>
    <w:rsid w:val="000045D8"/>
    <w:rsid w:val="000B076F"/>
    <w:rsid w:val="001667A0"/>
    <w:rsid w:val="00BB7DAB"/>
    <w:rsid w:val="00DF4E11"/>
    <w:rsid w:val="00F4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7DAB"/>
  </w:style>
  <w:style w:type="paragraph" w:styleId="Nadpis2">
    <w:name w:val="heading 2"/>
    <w:basedOn w:val="Normlny"/>
    <w:link w:val="Nadpis2Char"/>
    <w:uiPriority w:val="9"/>
    <w:qFormat/>
    <w:rsid w:val="00DF4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F4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F4E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F4E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F4E11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F4E1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F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14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edia.sk/bunka/prijem-a-vydaj-lat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pedia.sk/bunka/prijem-a-vydaj-lat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bunka/prijem-a-vydaj-lat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opedia.sk/bunka/prijem-a-vydaj-latok" TargetMode="External"/><Relationship Id="rId10" Type="http://schemas.openxmlformats.org/officeDocument/2006/relationships/hyperlink" Target="https://biopedia.sk/bunka/prijem-a-vydaj-la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pedia.sk/bunka/prijem-a-vydaj-lato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2022-05-23T13:15:00Z</dcterms:created>
  <dcterms:modified xsi:type="dcterms:W3CDTF">2022-05-23T13:22:00Z</dcterms:modified>
</cp:coreProperties>
</file>