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70" w:rsidRPr="00967776" w:rsidRDefault="00737C70" w:rsidP="00737C70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Meno:</w:t>
      </w:r>
      <w:r w:rsidRPr="00967776">
        <w:rPr>
          <w:rFonts w:ascii="Times New Roman" w:hAnsi="Times New Roman"/>
          <w:sz w:val="24"/>
          <w:szCs w:val="24"/>
        </w:rPr>
        <w:tab/>
      </w:r>
      <w:r w:rsidRPr="009677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Kristína Chovancová</w:t>
      </w:r>
    </w:p>
    <w:p w:rsidR="00737C70" w:rsidRPr="00967776" w:rsidRDefault="00737C70" w:rsidP="00737C70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Dátum:</w:t>
      </w:r>
      <w:r w:rsidRPr="0096777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14.12.2020</w:t>
      </w:r>
    </w:p>
    <w:p w:rsidR="000D31E8" w:rsidRDefault="00737C70" w:rsidP="00737C70">
      <w:pPr>
        <w:rPr>
          <w:b/>
          <w:bCs/>
        </w:rPr>
      </w:pPr>
      <w:r w:rsidRPr="00967776">
        <w:rPr>
          <w:rFonts w:ascii="Times New Roman" w:hAnsi="Times New Roman"/>
          <w:b/>
          <w:sz w:val="24"/>
          <w:szCs w:val="24"/>
        </w:rPr>
        <w:t>Téma:</w:t>
      </w:r>
      <w:r w:rsidRPr="00967776">
        <w:rPr>
          <w:rFonts w:ascii="Times New Roman" w:hAnsi="Times New Roman"/>
          <w:b/>
          <w:sz w:val="24"/>
          <w:szCs w:val="24"/>
        </w:rPr>
        <w:tab/>
      </w:r>
      <w:r w:rsidRPr="0096777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15. </w:t>
      </w:r>
      <w:r>
        <w:rPr>
          <w:b/>
          <w:bCs/>
        </w:rPr>
        <w:t>Meranie pH antimónovou elektródou</w:t>
      </w:r>
    </w:p>
    <w:p w:rsidR="00737C70" w:rsidRPr="00737C70" w:rsidRDefault="00737C70" w:rsidP="00737C70">
      <w:pPr>
        <w:spacing w:line="240" w:lineRule="auto"/>
        <w:ind w:left="1416" w:hanging="1416"/>
        <w:jc w:val="both"/>
        <w:rPr>
          <w:rFonts w:ascii="Times New Roman" w:hAnsi="Times New Roman"/>
          <w:bCs/>
          <w:sz w:val="24"/>
          <w:szCs w:val="24"/>
        </w:rPr>
      </w:pPr>
      <w:r w:rsidRPr="00737C70">
        <w:rPr>
          <w:rFonts w:ascii="Times New Roman" w:hAnsi="Times New Roman"/>
          <w:b/>
          <w:sz w:val="24"/>
          <w:szCs w:val="24"/>
        </w:rPr>
        <w:t xml:space="preserve">Princíp:  </w:t>
      </w:r>
      <w:r w:rsidRPr="00737C70">
        <w:rPr>
          <w:rFonts w:ascii="Times New Roman" w:hAnsi="Times New Roman"/>
          <w:b/>
          <w:sz w:val="24"/>
          <w:szCs w:val="24"/>
        </w:rPr>
        <w:br/>
      </w:r>
      <w:r w:rsidRPr="00737C70">
        <w:rPr>
          <w:rFonts w:ascii="Times New Roman" w:hAnsi="Times New Roman"/>
          <w:sz w:val="24"/>
          <w:szCs w:val="24"/>
        </w:rPr>
        <w:t xml:space="preserve">Antimónová elektróda  používa sa pre potenciometrické meranie pH. Je to elektróda druhého druhu, kov – nerozpustný </w:t>
      </w:r>
      <w:proofErr w:type="spellStart"/>
      <w:r w:rsidRPr="00737C70">
        <w:rPr>
          <w:rFonts w:ascii="Times New Roman" w:hAnsi="Times New Roman"/>
          <w:sz w:val="24"/>
          <w:szCs w:val="24"/>
        </w:rPr>
        <w:t>kov</w:t>
      </w:r>
      <w:r w:rsidRPr="00737C70">
        <w:rPr>
          <w:rFonts w:ascii="Times New Roman" w:hAnsi="Times New Roman"/>
          <w:bCs/>
          <w:sz w:val="24"/>
          <w:szCs w:val="24"/>
        </w:rPr>
        <w:t>.Je</w:t>
      </w:r>
      <w:proofErr w:type="spellEnd"/>
      <w:r w:rsidRPr="00737C70">
        <w:rPr>
          <w:rFonts w:ascii="Times New Roman" w:hAnsi="Times New Roman"/>
          <w:bCs/>
          <w:sz w:val="24"/>
          <w:szCs w:val="24"/>
        </w:rPr>
        <w:t xml:space="preserve"> to spravidla tyčinka z čistého </w:t>
      </w:r>
      <w:proofErr w:type="spellStart"/>
      <w:r w:rsidRPr="00737C70">
        <w:rPr>
          <w:rFonts w:ascii="Times New Roman" w:hAnsi="Times New Roman"/>
          <w:bCs/>
          <w:sz w:val="24"/>
          <w:szCs w:val="24"/>
        </w:rPr>
        <w:t>Sb</w:t>
      </w:r>
      <w:proofErr w:type="spellEnd"/>
      <w:r w:rsidRPr="00737C70">
        <w:rPr>
          <w:rFonts w:ascii="Times New Roman" w:hAnsi="Times New Roman"/>
          <w:bCs/>
          <w:sz w:val="24"/>
          <w:szCs w:val="24"/>
        </w:rPr>
        <w:t xml:space="preserve"> ,pričom sa buď priamo na vzduchu alebo v študovanom roztoku pokrýva vrstvou svojho oxidu. </w:t>
      </w:r>
      <w:proofErr w:type="spellStart"/>
      <w:r w:rsidRPr="00737C70">
        <w:rPr>
          <w:rFonts w:ascii="Times New Roman" w:hAnsi="Times New Roman"/>
          <w:bCs/>
          <w:sz w:val="24"/>
          <w:szCs w:val="24"/>
        </w:rPr>
        <w:t>Nernstova</w:t>
      </w:r>
      <w:proofErr w:type="spellEnd"/>
      <w:r w:rsidRPr="00737C70">
        <w:rPr>
          <w:rFonts w:ascii="Times New Roman" w:hAnsi="Times New Roman"/>
          <w:bCs/>
          <w:sz w:val="24"/>
          <w:szCs w:val="24"/>
        </w:rPr>
        <w:t xml:space="preserve"> rovnica pre antimónovú elektródu má po úprave tvar  :  </w:t>
      </w:r>
      <w:r w:rsidRPr="00737C70">
        <w:rPr>
          <w:rFonts w:ascii="Times New Roman" w:hAnsi="Times New Roman"/>
          <w:bCs/>
          <w:position w:val="-24"/>
          <w:sz w:val="24"/>
          <w:szCs w:val="24"/>
        </w:rPr>
        <w:object w:dxaOrig="2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0.75pt" o:ole="">
            <v:imagedata r:id="rId4" o:title=""/>
          </v:shape>
          <o:OLEObject Type="Embed" ProgID="Equation.3" ShapeID="_x0000_i1025" DrawAspect="Content" ObjectID="_1670865205" r:id="rId5"/>
        </w:object>
      </w:r>
      <w:r w:rsidRPr="00737C70">
        <w:rPr>
          <w:rFonts w:ascii="Times New Roman" w:hAnsi="Times New Roman"/>
          <w:bCs/>
          <w:sz w:val="24"/>
          <w:szCs w:val="24"/>
        </w:rPr>
        <w:t xml:space="preserve"> </w:t>
      </w:r>
    </w:p>
    <w:p w:rsidR="00737C70" w:rsidRPr="00737C70" w:rsidRDefault="00737C70" w:rsidP="00737C70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sz w:val="24"/>
          <w:szCs w:val="24"/>
        </w:rPr>
        <w:t>Potenciál antimónovej elektródy závisí teda od pH roztoku rovnako ako potenciál vodíkovej elektródy. Antimónová elektróda je citlivá na prítomnosť silných oxidač</w:t>
      </w:r>
      <w:r w:rsidRPr="00737C70">
        <w:rPr>
          <w:rFonts w:ascii="Times New Roman" w:hAnsi="Times New Roman"/>
          <w:sz w:val="24"/>
          <w:szCs w:val="24"/>
        </w:rPr>
        <w:softHyphen/>
        <w:t>ných a redukčných činidiel. Nemala by sa používať v silne alkalickom prostredí nad pH = 10.</w:t>
      </w:r>
    </w:p>
    <w:p w:rsidR="00737C70" w:rsidRPr="00737C70" w:rsidRDefault="00737C70" w:rsidP="00737C70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</w:p>
    <w:p w:rsidR="00737C70" w:rsidRPr="00737C70" w:rsidRDefault="00737C70" w:rsidP="00737C7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b/>
          <w:bCs/>
          <w:sz w:val="24"/>
          <w:szCs w:val="24"/>
        </w:rPr>
        <w:t xml:space="preserve">Pomôcky: </w:t>
      </w:r>
      <w:r w:rsidRPr="00737C70">
        <w:rPr>
          <w:rFonts w:ascii="Times New Roman" w:hAnsi="Times New Roman"/>
          <w:sz w:val="24"/>
          <w:szCs w:val="24"/>
        </w:rPr>
        <w:t xml:space="preserve">digitálny voltmeter, antimónová elektróda, nasýtená </w:t>
      </w:r>
      <w:proofErr w:type="spellStart"/>
      <w:r w:rsidRPr="00737C70">
        <w:rPr>
          <w:rFonts w:ascii="Times New Roman" w:hAnsi="Times New Roman"/>
          <w:sz w:val="24"/>
          <w:szCs w:val="24"/>
        </w:rPr>
        <w:t>kalomelová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elektróda, filtračný papier, pipety – delené, kadičky; 0,1 mol∙dm</w:t>
      </w:r>
      <w:r w:rsidRPr="00737C70">
        <w:rPr>
          <w:rFonts w:ascii="Times New Roman" w:hAnsi="Times New Roman"/>
          <w:sz w:val="24"/>
          <w:szCs w:val="24"/>
          <w:vertAlign w:val="superscript"/>
        </w:rPr>
        <w:t>-3</w:t>
      </w:r>
      <w:r w:rsidRPr="00737C70">
        <w:rPr>
          <w:rFonts w:ascii="Times New Roman" w:hAnsi="Times New Roman"/>
          <w:sz w:val="24"/>
          <w:szCs w:val="24"/>
        </w:rPr>
        <w:t xml:space="preserve"> kyselina citrónová, 0,2 mol∙dm</w:t>
      </w:r>
      <w:r w:rsidRPr="00737C70">
        <w:rPr>
          <w:rFonts w:ascii="Times New Roman" w:hAnsi="Times New Roman"/>
          <w:sz w:val="24"/>
          <w:szCs w:val="24"/>
          <w:vertAlign w:val="superscript"/>
        </w:rPr>
        <w:t>-3</w:t>
      </w:r>
      <w:r w:rsidRPr="00737C70">
        <w:rPr>
          <w:rFonts w:ascii="Times New Roman" w:hAnsi="Times New Roman"/>
          <w:sz w:val="24"/>
          <w:szCs w:val="24"/>
        </w:rPr>
        <w:t xml:space="preserve"> Na</w:t>
      </w:r>
      <w:r w:rsidRPr="00737C70">
        <w:rPr>
          <w:rFonts w:ascii="Times New Roman" w:hAnsi="Times New Roman"/>
          <w:sz w:val="24"/>
          <w:szCs w:val="24"/>
          <w:vertAlign w:val="subscript"/>
        </w:rPr>
        <w:t>2</w:t>
      </w:r>
      <w:r w:rsidRPr="00737C70">
        <w:rPr>
          <w:rFonts w:ascii="Times New Roman" w:hAnsi="Times New Roman"/>
          <w:sz w:val="24"/>
          <w:szCs w:val="24"/>
        </w:rPr>
        <w:t>HPO</w:t>
      </w:r>
      <w:r w:rsidRPr="00737C70">
        <w:rPr>
          <w:rFonts w:ascii="Times New Roman" w:hAnsi="Times New Roman"/>
          <w:sz w:val="24"/>
          <w:szCs w:val="24"/>
          <w:vertAlign w:val="subscript"/>
        </w:rPr>
        <w:t>4</w:t>
      </w:r>
      <w:r w:rsidRPr="00737C70">
        <w:rPr>
          <w:rFonts w:ascii="Times New Roman" w:hAnsi="Times New Roman"/>
          <w:sz w:val="24"/>
          <w:szCs w:val="24"/>
        </w:rPr>
        <w:t>, destilovaná voda</w:t>
      </w:r>
    </w:p>
    <w:p w:rsidR="00737C70" w:rsidRPr="00737C70" w:rsidRDefault="00737C70" w:rsidP="00737C70">
      <w:pPr>
        <w:spacing w:line="240" w:lineRule="auto"/>
        <w:ind w:left="1425" w:hanging="1425"/>
        <w:jc w:val="both"/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b/>
          <w:sz w:val="24"/>
          <w:szCs w:val="24"/>
        </w:rPr>
        <w:t>Postup:</w:t>
      </w:r>
      <w:r w:rsidRPr="00737C70">
        <w:rPr>
          <w:rFonts w:ascii="Times New Roman" w:hAnsi="Times New Roman"/>
          <w:sz w:val="24"/>
          <w:szCs w:val="24"/>
        </w:rPr>
        <w:tab/>
      </w:r>
      <w:r w:rsidRPr="00737C70">
        <w:rPr>
          <w:rFonts w:ascii="Times New Roman" w:hAnsi="Times New Roman"/>
          <w:bCs/>
          <w:sz w:val="24"/>
          <w:szCs w:val="24"/>
        </w:rPr>
        <w:t>1.</w:t>
      </w:r>
      <w:r w:rsidRPr="00737C70">
        <w:rPr>
          <w:rFonts w:ascii="Times New Roman" w:hAnsi="Times New Roman"/>
          <w:sz w:val="24"/>
          <w:szCs w:val="24"/>
        </w:rPr>
        <w:t xml:space="preserve"> Pripravíme si tlmivé roztoky zmiešaním  0,l mol dm</w:t>
      </w:r>
      <w:r w:rsidRPr="00737C70">
        <w:rPr>
          <w:rFonts w:ascii="Times New Roman" w:hAnsi="Times New Roman"/>
          <w:sz w:val="24"/>
          <w:szCs w:val="24"/>
          <w:vertAlign w:val="superscript"/>
        </w:rPr>
        <w:t>-3</w:t>
      </w:r>
      <w:r w:rsidRPr="00737C70">
        <w:rPr>
          <w:rFonts w:ascii="Times New Roman" w:hAnsi="Times New Roman"/>
          <w:sz w:val="24"/>
          <w:szCs w:val="24"/>
        </w:rPr>
        <w:t xml:space="preserve"> kyseliny citrónovej a           0,2 moldm</w:t>
      </w:r>
      <w:r w:rsidRPr="00737C70">
        <w:rPr>
          <w:rFonts w:ascii="Times New Roman" w:hAnsi="Times New Roman"/>
          <w:sz w:val="24"/>
          <w:szCs w:val="24"/>
          <w:vertAlign w:val="superscript"/>
        </w:rPr>
        <w:t>-3</w:t>
      </w:r>
      <w:r w:rsidRPr="00737C70">
        <w:rPr>
          <w:rFonts w:ascii="Times New Roman" w:hAnsi="Times New Roman"/>
          <w:sz w:val="24"/>
          <w:szCs w:val="24"/>
        </w:rPr>
        <w:t xml:space="preserve"> Na</w:t>
      </w:r>
      <w:r w:rsidRPr="00737C70">
        <w:rPr>
          <w:rFonts w:ascii="Times New Roman" w:hAnsi="Times New Roman"/>
          <w:sz w:val="24"/>
          <w:szCs w:val="24"/>
          <w:vertAlign w:val="subscript"/>
        </w:rPr>
        <w:t>2</w:t>
      </w:r>
      <w:r w:rsidRPr="00737C70">
        <w:rPr>
          <w:rFonts w:ascii="Times New Roman" w:hAnsi="Times New Roman"/>
          <w:sz w:val="24"/>
          <w:szCs w:val="24"/>
        </w:rPr>
        <w:t>HP0</w:t>
      </w:r>
      <w:r w:rsidRPr="00737C70">
        <w:rPr>
          <w:rFonts w:ascii="Times New Roman" w:hAnsi="Times New Roman"/>
          <w:sz w:val="24"/>
          <w:szCs w:val="24"/>
          <w:vertAlign w:val="subscript"/>
        </w:rPr>
        <w:t>4</w:t>
      </w:r>
      <w:r w:rsidRPr="00737C70">
        <w:rPr>
          <w:rFonts w:ascii="Times New Roman" w:hAnsi="Times New Roman"/>
          <w:sz w:val="24"/>
          <w:szCs w:val="24"/>
        </w:rPr>
        <w:t xml:space="preserve"> pre príslušné pH ako je uvedené v tabuľke.                                                                                                                     </w:t>
      </w:r>
    </w:p>
    <w:p w:rsidR="00737C70" w:rsidRPr="00737C70" w:rsidRDefault="00737C70" w:rsidP="00737C70">
      <w:pPr>
        <w:spacing w:line="240" w:lineRule="auto"/>
        <w:ind w:left="1418" w:hanging="1418"/>
        <w:jc w:val="both"/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Pr="00737C70">
        <w:rPr>
          <w:rFonts w:ascii="Times New Roman" w:hAnsi="Times New Roman"/>
          <w:sz w:val="24"/>
          <w:szCs w:val="24"/>
        </w:rPr>
        <w:t>2. Do termostatovej elektrolytickej nádobky nalejeme  roztok pH=2,2  a ponoríme doň antimónovú a </w:t>
      </w:r>
      <w:proofErr w:type="spellStart"/>
      <w:r w:rsidRPr="00737C70">
        <w:rPr>
          <w:rFonts w:ascii="Times New Roman" w:hAnsi="Times New Roman"/>
          <w:sz w:val="24"/>
          <w:szCs w:val="24"/>
        </w:rPr>
        <w:t>kalomelovú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elektródu.                                                                                                                                                      </w:t>
      </w:r>
    </w:p>
    <w:p w:rsidR="00737C70" w:rsidRDefault="00737C70" w:rsidP="00737C70">
      <w:pPr>
        <w:spacing w:line="240" w:lineRule="auto"/>
        <w:ind w:left="1418" w:hanging="1418"/>
        <w:jc w:val="both"/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sz w:val="24"/>
          <w:szCs w:val="24"/>
        </w:rPr>
        <w:t xml:space="preserve">                        3. Po ustálení rovnováhy zmeriame EMN –elektromotorické </w:t>
      </w:r>
      <w:proofErr w:type="spellStart"/>
      <w:r w:rsidRPr="00737C70">
        <w:rPr>
          <w:rFonts w:ascii="Times New Roman" w:hAnsi="Times New Roman"/>
          <w:sz w:val="24"/>
          <w:szCs w:val="24"/>
        </w:rPr>
        <w:t>nastie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tohto článku. Tak postupujeme pri všetkých roztokoch .Po každom meraní elektródu aj nádobku dôkladne opláchneme destilovanou vodou.</w:t>
      </w:r>
    </w:p>
    <w:p w:rsidR="00737C70" w:rsidRPr="00737C70" w:rsidRDefault="00737C70" w:rsidP="00737C70">
      <w:pPr>
        <w:spacing w:line="240" w:lineRule="auto"/>
        <w:ind w:left="1418" w:hanging="1418"/>
        <w:jc w:val="both"/>
        <w:rPr>
          <w:rFonts w:ascii="Times New Roman" w:hAnsi="Times New Roman"/>
          <w:b/>
          <w:sz w:val="24"/>
          <w:szCs w:val="24"/>
        </w:rPr>
      </w:pPr>
      <w:r w:rsidRPr="00737C70">
        <w:rPr>
          <w:rFonts w:ascii="Times New Roman" w:hAnsi="Times New Roman"/>
          <w:b/>
          <w:sz w:val="24"/>
          <w:szCs w:val="24"/>
        </w:rPr>
        <w:t>Výsledky:</w:t>
      </w:r>
    </w:p>
    <w:tbl>
      <w:tblPr>
        <w:tblpPr w:leftFromText="180" w:rightFromText="180" w:vertAnchor="text" w:horzAnchor="margin" w:tblpY="335"/>
        <w:tblW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1"/>
        <w:gridCol w:w="1571"/>
        <w:gridCol w:w="1559"/>
        <w:gridCol w:w="1560"/>
      </w:tblGrid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pH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EMN (</w:t>
            </w:r>
            <w:proofErr w:type="spellStart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mV</w:t>
            </w:r>
            <w:proofErr w:type="spellEnd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proofErr w:type="spellStart"/>
            <w:r w:rsidRPr="00737C70">
              <w:rPr>
                <w:b/>
                <w:bCs/>
                <w:color w:val="C00000"/>
              </w:rPr>
              <w:t>E</w:t>
            </w:r>
            <w:r w:rsidRPr="00737C70">
              <w:rPr>
                <w:b/>
                <w:bCs/>
                <w:color w:val="C00000"/>
                <w:vertAlign w:val="subscript"/>
              </w:rPr>
              <w:t>Sb</w:t>
            </w:r>
            <w:proofErr w:type="spellEnd"/>
            <w:r w:rsidRPr="00737C70">
              <w:rPr>
                <w:b/>
                <w:bCs/>
                <w:color w:val="C00000"/>
              </w:rPr>
              <w:t xml:space="preserve"> </w:t>
            </w: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(</w:t>
            </w:r>
            <w:proofErr w:type="spellStart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mV</w:t>
            </w:r>
            <w:proofErr w:type="spellEnd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b/>
                <w:bCs/>
                <w:color w:val="C00000"/>
              </w:rPr>
              <w:t>E</w:t>
            </w:r>
            <w:r w:rsidRPr="00737C70">
              <w:rPr>
                <w:b/>
                <w:bCs/>
                <w:color w:val="C00000"/>
                <w:vertAlign w:val="subscript"/>
              </w:rPr>
              <w:t>Sb</w:t>
            </w:r>
            <w:r w:rsidRPr="00737C70">
              <w:rPr>
                <w:b/>
                <w:bCs/>
                <w:color w:val="C00000"/>
                <w:vertAlign w:val="superscript"/>
              </w:rPr>
              <w:t>0</w:t>
            </w:r>
            <w:r w:rsidRPr="00737C70">
              <w:rPr>
                <w:b/>
                <w:bCs/>
                <w:color w:val="C00000"/>
              </w:rPr>
              <w:t xml:space="preserve"> </w:t>
            </w: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(</w:t>
            </w:r>
            <w:proofErr w:type="spellStart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mV</w:t>
            </w:r>
            <w:proofErr w:type="spellEnd"/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)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2,2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219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-23,1298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251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8,823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306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-64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63,764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(pôvodne neznáme) 4,37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328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-86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00000"/>
                <w:lang w:eastAsia="en-GB"/>
              </w:rPr>
            </w:pPr>
            <w:r w:rsidRPr="00737C70">
              <w:rPr>
                <w:rFonts w:eastAsia="Times New Roman" w:cs="Calibri"/>
                <w:b/>
                <w:bCs/>
                <w:color w:val="C00000"/>
                <w:lang w:eastAsia="en-GB"/>
              </w:rPr>
              <w:t>85,74217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361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-119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118,705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409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-167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166,646</w:t>
            </w:r>
          </w:p>
        </w:tc>
      </w:tr>
      <w:tr w:rsidR="00737C70" w:rsidRPr="00F559F2" w:rsidTr="00737C70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475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-233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37C70" w:rsidRPr="00F559F2" w:rsidRDefault="00737C70" w:rsidP="00737C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F559F2">
              <w:rPr>
                <w:rFonts w:eastAsia="Times New Roman" w:cs="Calibri"/>
                <w:color w:val="000000"/>
                <w:lang w:eastAsia="en-GB"/>
              </w:rPr>
              <w:t>232,587</w:t>
            </w:r>
          </w:p>
        </w:tc>
      </w:tr>
    </w:tbl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Default="00737C70" w:rsidP="00737C70"/>
    <w:p w:rsidR="00737C70" w:rsidRPr="00737C70" w:rsidRDefault="00737C70" w:rsidP="00737C70">
      <w:pPr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sz w:val="24"/>
          <w:szCs w:val="24"/>
        </w:rPr>
        <w:lastRenderedPageBreak/>
        <w:t>Priemer E</w:t>
      </w:r>
      <w:r w:rsidRPr="00737C70">
        <w:rPr>
          <w:rFonts w:ascii="Times New Roman" w:hAnsi="Times New Roman"/>
          <w:sz w:val="24"/>
          <w:szCs w:val="24"/>
          <w:vertAlign w:val="subscript"/>
        </w:rPr>
        <w:t>Sb</w:t>
      </w:r>
      <w:r w:rsidRPr="00737C70">
        <w:rPr>
          <w:rFonts w:ascii="Times New Roman" w:hAnsi="Times New Roman"/>
          <w:sz w:val="24"/>
          <w:szCs w:val="24"/>
          <w:vertAlign w:val="superscript"/>
        </w:rPr>
        <w:t>0</w:t>
      </w:r>
      <w:r w:rsidRPr="00737C70">
        <w:rPr>
          <w:rFonts w:ascii="Times New Roman" w:hAnsi="Times New Roman"/>
          <w:sz w:val="24"/>
          <w:szCs w:val="24"/>
        </w:rPr>
        <w:t xml:space="preserve"> = 93,3 ± 88,55 </w:t>
      </w:r>
      <w:proofErr w:type="spellStart"/>
      <w:r w:rsidRPr="00737C70">
        <w:rPr>
          <w:rFonts w:ascii="Times New Roman" w:hAnsi="Times New Roman"/>
          <w:sz w:val="24"/>
          <w:szCs w:val="24"/>
        </w:rPr>
        <w:t>mV</w:t>
      </w:r>
      <w:proofErr w:type="spellEnd"/>
    </w:p>
    <w:p w:rsidR="00737C70" w:rsidRPr="00737C70" w:rsidRDefault="00737C70" w:rsidP="00737C7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37C70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4572000" cy="2552700"/>
            <wp:effectExtent l="19050" t="0" r="1905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65A1F58-6582-48B8-91AA-4A2ED21E7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7C70" w:rsidRPr="00737C70" w:rsidRDefault="00737C70" w:rsidP="00737C70">
      <w:pPr>
        <w:rPr>
          <w:rFonts w:ascii="Times New Roman" w:hAnsi="Times New Roman"/>
          <w:sz w:val="24"/>
          <w:szCs w:val="24"/>
        </w:rPr>
      </w:pPr>
      <w:r w:rsidRPr="00737C70">
        <w:rPr>
          <w:rFonts w:ascii="Times New Roman" w:hAnsi="Times New Roman"/>
          <w:sz w:val="24"/>
          <w:szCs w:val="24"/>
        </w:rPr>
        <w:t>E</w:t>
      </w:r>
      <w:r w:rsidRPr="00737C70">
        <w:rPr>
          <w:rFonts w:ascii="Times New Roman" w:hAnsi="Times New Roman"/>
          <w:sz w:val="24"/>
          <w:szCs w:val="24"/>
          <w:vertAlign w:val="subscript"/>
        </w:rPr>
        <w:t>Sb</w:t>
      </w:r>
      <w:r w:rsidRPr="00737C70">
        <w:rPr>
          <w:rFonts w:ascii="Times New Roman" w:hAnsi="Times New Roman"/>
          <w:sz w:val="24"/>
          <w:szCs w:val="24"/>
          <w:vertAlign w:val="superscript"/>
        </w:rPr>
        <w:t>0</w:t>
      </w:r>
      <w:r w:rsidRPr="00737C70">
        <w:rPr>
          <w:rFonts w:ascii="Times New Roman" w:hAnsi="Times New Roman"/>
          <w:sz w:val="24"/>
          <w:szCs w:val="24"/>
        </w:rPr>
        <w:t xml:space="preserve"> = 146,74 </w:t>
      </w:r>
      <w:proofErr w:type="spellStart"/>
      <w:r w:rsidRPr="00737C70">
        <w:rPr>
          <w:rFonts w:ascii="Times New Roman" w:hAnsi="Times New Roman"/>
          <w:sz w:val="24"/>
          <w:szCs w:val="24"/>
        </w:rPr>
        <w:t>mV</w:t>
      </w:r>
      <w:proofErr w:type="spellEnd"/>
    </w:p>
    <w:p w:rsidR="00737C70" w:rsidRDefault="00737C70" w:rsidP="00737C70">
      <w:pPr>
        <w:rPr>
          <w:rFonts w:ascii="Times New Roman" w:hAnsi="Times New Roman"/>
          <w:b/>
          <w:sz w:val="24"/>
          <w:szCs w:val="24"/>
        </w:rPr>
      </w:pPr>
      <w:r w:rsidRPr="00737C70">
        <w:rPr>
          <w:rFonts w:ascii="Times New Roman" w:hAnsi="Times New Roman"/>
          <w:b/>
          <w:sz w:val="24"/>
          <w:szCs w:val="24"/>
        </w:rPr>
        <w:t xml:space="preserve">Záver: </w:t>
      </w:r>
    </w:p>
    <w:p w:rsidR="00737C70" w:rsidRPr="00737C70" w:rsidRDefault="00737C70" w:rsidP="00737C70">
      <w:pPr>
        <w:jc w:val="both"/>
        <w:rPr>
          <w:rFonts w:ascii="Times New Roman" w:hAnsi="Times New Roman"/>
          <w:b/>
          <w:sz w:val="24"/>
          <w:szCs w:val="24"/>
        </w:rPr>
      </w:pPr>
      <w:r w:rsidRPr="00737C70">
        <w:rPr>
          <w:rFonts w:ascii="Times New Roman" w:hAnsi="Times New Roman"/>
          <w:sz w:val="24"/>
          <w:szCs w:val="24"/>
        </w:rPr>
        <w:t>Na tomto</w:t>
      </w:r>
      <w:r>
        <w:rPr>
          <w:rFonts w:ascii="Times New Roman" w:hAnsi="Times New Roman"/>
          <w:sz w:val="24"/>
          <w:szCs w:val="24"/>
        </w:rPr>
        <w:t xml:space="preserve"> laboratórnom</w:t>
      </w:r>
      <w:r w:rsidRPr="00737C70">
        <w:rPr>
          <w:rFonts w:ascii="Times New Roman" w:hAnsi="Times New Roman"/>
          <w:sz w:val="24"/>
          <w:szCs w:val="24"/>
        </w:rPr>
        <w:t xml:space="preserve"> cvičení sme antimónovou a </w:t>
      </w:r>
      <w:proofErr w:type="spellStart"/>
      <w:r w:rsidRPr="00737C70">
        <w:rPr>
          <w:rFonts w:ascii="Times New Roman" w:hAnsi="Times New Roman"/>
          <w:sz w:val="24"/>
          <w:szCs w:val="24"/>
        </w:rPr>
        <w:t>kalomelovou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elektródou merali elektromotorické napätie tlmivých roztokov s rôznymi hodnotami pH. Týmto sme ju okalibrovali a po odčítaní elektromotorického napätia </w:t>
      </w:r>
      <w:proofErr w:type="spellStart"/>
      <w:r w:rsidRPr="00737C70">
        <w:rPr>
          <w:rFonts w:ascii="Times New Roman" w:hAnsi="Times New Roman"/>
          <w:sz w:val="24"/>
          <w:szCs w:val="24"/>
        </w:rPr>
        <w:t>kalomelovej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elektródy sme určili jej potenciál. Zostrojili sme graf závislosti </w:t>
      </w:r>
      <w:proofErr w:type="spellStart"/>
      <w:r w:rsidRPr="00737C70">
        <w:rPr>
          <w:rFonts w:ascii="Times New Roman" w:hAnsi="Times New Roman"/>
          <w:sz w:val="24"/>
          <w:szCs w:val="24"/>
        </w:rPr>
        <w:t>E</w:t>
      </w:r>
      <w:r w:rsidRPr="00737C70">
        <w:rPr>
          <w:rFonts w:ascii="Times New Roman" w:hAnsi="Times New Roman"/>
          <w:sz w:val="24"/>
          <w:szCs w:val="24"/>
          <w:vertAlign w:val="subscript"/>
        </w:rPr>
        <w:t>Sb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= f(pH) a </w:t>
      </w:r>
      <w:proofErr w:type="spellStart"/>
      <w:r w:rsidRPr="00737C70">
        <w:rPr>
          <w:rFonts w:ascii="Times New Roman" w:hAnsi="Times New Roman"/>
          <w:sz w:val="24"/>
          <w:szCs w:val="24"/>
        </w:rPr>
        <w:t>extrapoláciou</w:t>
      </w:r>
      <w:proofErr w:type="spellEnd"/>
      <w:r w:rsidRPr="00737C70">
        <w:rPr>
          <w:rFonts w:ascii="Times New Roman" w:hAnsi="Times New Roman"/>
          <w:sz w:val="24"/>
          <w:szCs w:val="24"/>
        </w:rPr>
        <w:t xml:space="preserve"> odčítali hodnotu pH neznámej vzorky.</w:t>
      </w:r>
    </w:p>
    <w:sectPr w:rsidR="00737C70" w:rsidRPr="00737C70" w:rsidSect="000D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37C70"/>
    <w:rsid w:val="000D31E8"/>
    <w:rsid w:val="00166D60"/>
    <w:rsid w:val="0073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7C70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C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ocuments\School\uni\3%20bc\praktikum%20z%20fyz.%20ch&#233;mie\laborat&#243;rny%20protokol%20&#269;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solidFill>
                  <a:schemeClr val="accent6">
                    <a:lumMod val="50000"/>
                  </a:schemeClr>
                </a:solidFill>
              </a:rPr>
              <a:t>E</a:t>
            </a:r>
            <a:r>
              <a:rPr lang="sk-SK" baseline="-25000">
                <a:solidFill>
                  <a:schemeClr val="accent6">
                    <a:lumMod val="50000"/>
                  </a:schemeClr>
                </a:solidFill>
              </a:rPr>
              <a:t>Sb</a:t>
            </a:r>
            <a:r>
              <a:rPr lang="sk-SK">
                <a:solidFill>
                  <a:schemeClr val="accent6">
                    <a:lumMod val="50000"/>
                  </a:schemeClr>
                </a:solidFill>
              </a:rPr>
              <a:t> = f(pH)</a:t>
            </a:r>
            <a:endParaRPr lang="en-GB">
              <a:solidFill>
                <a:schemeClr val="accent6">
                  <a:lumMod val="50000"/>
                </a:schemeClr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3-7EC0-4DC9-A9A0-924C742305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3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t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Eq val="1"/>
            <c:trendlineLbl>
              <c:layout>
                <c:manualLayout>
                  <c:x val="-2.4444444444444446E-2"/>
                  <c:y val="-7.380420730990721E-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bg1">
                            <a:lumMod val="50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-53,283x + 146,74</a:t>
                    </a:r>
                    <a:endParaRPr lang="en-US">
                      <a:latin typeface="Times New Roman" pitchFamily="18" charset="0"/>
                      <a:cs typeface="Times New Roman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Hárok1!$A$2:$A$8</c:f>
              <c:numCache>
                <c:formatCode>General</c:formatCode>
                <c:ptCount val="7"/>
                <c:pt idx="0">
                  <c:v>2.2000000000000002</c:v>
                </c:pt>
                <c:pt idx="1">
                  <c:v>3</c:v>
                </c:pt>
                <c:pt idx="2">
                  <c:v>4</c:v>
                </c:pt>
                <c:pt idx="3">
                  <c:v>4.37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Hárok1!$C$2:$C$8</c:f>
              <c:numCache>
                <c:formatCode>General</c:formatCode>
                <c:ptCount val="7"/>
                <c:pt idx="0">
                  <c:v>23</c:v>
                </c:pt>
                <c:pt idx="1">
                  <c:v>-9</c:v>
                </c:pt>
                <c:pt idx="2">
                  <c:v>-64</c:v>
                </c:pt>
                <c:pt idx="3">
                  <c:v>-86</c:v>
                </c:pt>
                <c:pt idx="4">
                  <c:v>-119</c:v>
                </c:pt>
                <c:pt idx="5">
                  <c:v>-167</c:v>
                </c:pt>
                <c:pt idx="6">
                  <c:v>-233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7EC0-4DC9-A9A0-924C74230530}"/>
            </c:ext>
          </c:extLst>
        </c:ser>
        <c:dLbls>
          <c:showVal val="1"/>
        </c:dLbls>
        <c:axId val="74447488"/>
        <c:axId val="78996224"/>
      </c:scatterChart>
      <c:valAx>
        <c:axId val="74447488"/>
        <c:scaling>
          <c:orientation val="minMax"/>
          <c:max val="7"/>
          <c:min val="2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accent6"/>
                    </a:solidFill>
                  </a:rPr>
                  <a:t>pH</a:t>
                </a:r>
                <a:endParaRPr lang="en-GB">
                  <a:solidFill>
                    <a:schemeClr val="accent6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8996224"/>
        <c:crosses val="autoZero"/>
        <c:crossBetween val="midCat"/>
        <c:majorUnit val="0.5"/>
      </c:valAx>
      <c:valAx>
        <c:axId val="789962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accent6"/>
                    </a:solidFill>
                  </a:rPr>
                  <a:t>EMN</a:t>
                </a:r>
                <a:r>
                  <a:rPr lang="sk-SK" baseline="0">
                    <a:solidFill>
                      <a:schemeClr val="accent6"/>
                    </a:solidFill>
                  </a:rPr>
                  <a:t> [mV]</a:t>
                </a:r>
                <a:endParaRPr lang="en-GB">
                  <a:solidFill>
                    <a:schemeClr val="accent6"/>
                  </a:solidFill>
                </a:endParaRPr>
              </a:p>
            </c:rich>
          </c:tx>
          <c:layout>
            <c:manualLayout>
              <c:xMode val="edge"/>
              <c:yMode val="edge"/>
              <c:x val="3.0555555555555558E-2"/>
              <c:y val="0.35259137383946415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40000"/>
                    <a:lumOff val="6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444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2020-12-30T19:16:00Z</dcterms:created>
  <dcterms:modified xsi:type="dcterms:W3CDTF">2020-12-30T19:27:00Z</dcterms:modified>
</cp:coreProperties>
</file>